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0943C" w14:textId="77777777" w:rsidR="006B62E5" w:rsidRDefault="006B62E5" w:rsidP="006B62E5">
      <w:pPr>
        <w:jc w:val="center"/>
        <w:rPr>
          <w:rFonts w:ascii="Arial" w:eastAsia="Arial" w:hAnsi="Arial" w:cs="Arial"/>
          <w:b/>
          <w:sz w:val="40"/>
          <w:szCs w:val="40"/>
        </w:rPr>
      </w:pPr>
      <w:bookmarkStart w:id="0" w:name="_heading=h.gjdgxs" w:colFirst="0" w:colLast="0"/>
      <w:bookmarkEnd w:id="0"/>
    </w:p>
    <w:p w14:paraId="6BF1C0C0" w14:textId="77777777" w:rsidR="006B62E5" w:rsidRDefault="006B62E5" w:rsidP="006B62E5">
      <w:pPr>
        <w:jc w:val="center"/>
        <w:rPr>
          <w:rFonts w:ascii="Arial" w:eastAsia="Arial" w:hAnsi="Arial" w:cs="Arial"/>
          <w:b/>
          <w:sz w:val="40"/>
          <w:szCs w:val="40"/>
        </w:rPr>
      </w:pPr>
    </w:p>
    <w:p w14:paraId="2548F48D" w14:textId="77777777" w:rsidR="006B62E5" w:rsidRDefault="006B62E5" w:rsidP="006B62E5">
      <w:pPr>
        <w:jc w:val="center"/>
        <w:rPr>
          <w:rFonts w:ascii="Arial" w:eastAsia="Arial" w:hAnsi="Arial" w:cs="Arial"/>
          <w:b/>
          <w:sz w:val="40"/>
          <w:szCs w:val="40"/>
        </w:rPr>
      </w:pPr>
    </w:p>
    <w:p w14:paraId="2DC1F542" w14:textId="77777777" w:rsidR="006B62E5" w:rsidRDefault="006B62E5" w:rsidP="006B62E5">
      <w:pPr>
        <w:jc w:val="center"/>
        <w:rPr>
          <w:rFonts w:ascii="Arial" w:eastAsia="Arial" w:hAnsi="Arial" w:cs="Arial"/>
          <w:b/>
          <w:sz w:val="40"/>
          <w:szCs w:val="40"/>
        </w:rPr>
      </w:pPr>
    </w:p>
    <w:p w14:paraId="6F2F6C21" w14:textId="7ADA8F8C" w:rsidR="00A418E0" w:rsidRPr="006B62E5" w:rsidRDefault="00647E15" w:rsidP="006B62E5">
      <w:pPr>
        <w:jc w:val="center"/>
        <w:rPr>
          <w:rFonts w:ascii="Arial" w:eastAsia="Arial" w:hAnsi="Arial" w:cs="Arial"/>
          <w:b/>
          <w:sz w:val="40"/>
          <w:szCs w:val="40"/>
        </w:rPr>
      </w:pPr>
      <w:r w:rsidRPr="006B62E5">
        <w:rPr>
          <w:rFonts w:ascii="Arial" w:eastAsia="Arial" w:hAnsi="Arial" w:cs="Arial"/>
          <w:b/>
          <w:sz w:val="40"/>
          <w:szCs w:val="40"/>
        </w:rPr>
        <w:t>LAUNCH DAYTON</w:t>
      </w:r>
    </w:p>
    <w:p w14:paraId="2444BAA9" w14:textId="77777777" w:rsidR="00647E15" w:rsidRPr="006B62E5" w:rsidRDefault="00647E15" w:rsidP="006B62E5">
      <w:pPr>
        <w:jc w:val="center"/>
        <w:rPr>
          <w:rFonts w:ascii="Arial" w:eastAsia="Arial" w:hAnsi="Arial" w:cs="Arial"/>
          <w:b/>
          <w:sz w:val="40"/>
          <w:szCs w:val="40"/>
        </w:rPr>
      </w:pPr>
    </w:p>
    <w:p w14:paraId="1EA28137" w14:textId="5B150042" w:rsidR="00647E15" w:rsidRPr="006B62E5" w:rsidRDefault="00647E15" w:rsidP="006B62E5">
      <w:pPr>
        <w:jc w:val="center"/>
        <w:rPr>
          <w:rFonts w:ascii="Arial" w:eastAsia="Arial" w:hAnsi="Arial" w:cs="Arial"/>
          <w:b/>
          <w:sz w:val="40"/>
          <w:szCs w:val="40"/>
        </w:rPr>
      </w:pPr>
      <w:r w:rsidRPr="006B62E5">
        <w:rPr>
          <w:rFonts w:ascii="Arial" w:eastAsia="Arial" w:hAnsi="Arial" w:cs="Arial"/>
          <w:b/>
          <w:sz w:val="40"/>
          <w:szCs w:val="40"/>
        </w:rPr>
        <w:t>STARTUP WEEK 202</w:t>
      </w:r>
      <w:r w:rsidR="0023096F">
        <w:rPr>
          <w:rFonts w:ascii="Arial" w:eastAsia="Arial" w:hAnsi="Arial" w:cs="Arial"/>
          <w:b/>
          <w:sz w:val="40"/>
          <w:szCs w:val="40"/>
        </w:rPr>
        <w:t>5</w:t>
      </w:r>
    </w:p>
    <w:p w14:paraId="66EE800A" w14:textId="77777777" w:rsidR="00647E15" w:rsidRPr="006B62E5" w:rsidRDefault="00647E15" w:rsidP="006B62E5">
      <w:pPr>
        <w:jc w:val="center"/>
        <w:rPr>
          <w:rFonts w:ascii="Arial" w:eastAsia="Arial" w:hAnsi="Arial" w:cs="Arial"/>
          <w:b/>
          <w:sz w:val="40"/>
          <w:szCs w:val="40"/>
        </w:rPr>
      </w:pPr>
    </w:p>
    <w:p w14:paraId="58943292" w14:textId="77777777" w:rsidR="0023096F" w:rsidRDefault="0023096F" w:rsidP="006B62E5">
      <w:pPr>
        <w:jc w:val="center"/>
        <w:rPr>
          <w:rFonts w:ascii="Arial" w:eastAsia="Arial" w:hAnsi="Arial" w:cs="Arial"/>
          <w:b/>
          <w:sz w:val="40"/>
          <w:szCs w:val="40"/>
        </w:rPr>
      </w:pPr>
      <w:r>
        <w:rPr>
          <w:rFonts w:ascii="Arial" w:eastAsia="Arial" w:hAnsi="Arial" w:cs="Arial"/>
          <w:b/>
          <w:sz w:val="40"/>
          <w:szCs w:val="40"/>
        </w:rPr>
        <w:t>UNDERSTANDING VENTURE CAPITAL</w:t>
      </w:r>
    </w:p>
    <w:p w14:paraId="76988543" w14:textId="39BE6778" w:rsidR="00647E15" w:rsidRDefault="0023096F" w:rsidP="006B62E5">
      <w:pPr>
        <w:jc w:val="center"/>
        <w:rPr>
          <w:rFonts w:ascii="Arial" w:eastAsia="Arial" w:hAnsi="Arial" w:cs="Arial"/>
          <w:b/>
          <w:sz w:val="20"/>
          <w:szCs w:val="20"/>
        </w:rPr>
      </w:pPr>
      <w:r>
        <w:rPr>
          <w:rFonts w:ascii="Arial" w:eastAsia="Arial" w:hAnsi="Arial" w:cs="Arial"/>
          <w:b/>
          <w:sz w:val="40"/>
          <w:szCs w:val="40"/>
        </w:rPr>
        <w:t xml:space="preserve"> </w:t>
      </w:r>
      <w:r w:rsidR="00647E15" w:rsidRPr="006B62E5">
        <w:rPr>
          <w:rFonts w:ascii="Arial" w:eastAsia="Arial" w:hAnsi="Arial" w:cs="Arial"/>
          <w:b/>
          <w:sz w:val="40"/>
          <w:szCs w:val="40"/>
        </w:rPr>
        <w:t xml:space="preserve">TERM SHEETS </w:t>
      </w:r>
    </w:p>
    <w:p w14:paraId="4C3C879A" w14:textId="77777777" w:rsidR="00647E15" w:rsidRDefault="00647E15" w:rsidP="00A418E0">
      <w:pPr>
        <w:rPr>
          <w:rFonts w:ascii="Arial" w:eastAsia="Arial" w:hAnsi="Arial" w:cs="Arial"/>
          <w:b/>
          <w:sz w:val="20"/>
          <w:szCs w:val="20"/>
        </w:rPr>
      </w:pPr>
    </w:p>
    <w:p w14:paraId="578C51C8" w14:textId="5A731DE7" w:rsidR="006B62E5" w:rsidRDefault="006B62E5" w:rsidP="00A418E0">
      <w:pPr>
        <w:rPr>
          <w:rFonts w:ascii="Arial" w:eastAsia="Arial" w:hAnsi="Arial" w:cs="Arial"/>
          <w:b/>
          <w:sz w:val="20"/>
          <w:szCs w:val="20"/>
        </w:rPr>
      </w:pPr>
    </w:p>
    <w:p w14:paraId="1C64D3AF" w14:textId="77777777" w:rsidR="006B62E5" w:rsidRDefault="006B62E5" w:rsidP="00A418E0">
      <w:pPr>
        <w:rPr>
          <w:rFonts w:ascii="Arial" w:eastAsia="Arial" w:hAnsi="Arial" w:cs="Arial"/>
          <w:b/>
          <w:sz w:val="20"/>
          <w:szCs w:val="20"/>
        </w:rPr>
      </w:pPr>
    </w:p>
    <w:p w14:paraId="6C14518F" w14:textId="77777777" w:rsidR="006B62E5" w:rsidRDefault="006B62E5" w:rsidP="00A418E0">
      <w:pPr>
        <w:rPr>
          <w:rFonts w:ascii="Arial" w:eastAsia="Arial" w:hAnsi="Arial" w:cs="Arial"/>
          <w:b/>
          <w:sz w:val="20"/>
          <w:szCs w:val="20"/>
        </w:rPr>
      </w:pPr>
    </w:p>
    <w:p w14:paraId="122C5676" w14:textId="6289C5B8" w:rsidR="00647E15" w:rsidRPr="006B62E5" w:rsidRDefault="006B62E5" w:rsidP="00A418E0">
      <w:pPr>
        <w:rPr>
          <w:rFonts w:ascii="Arial" w:eastAsia="Arial" w:hAnsi="Arial" w:cs="Arial"/>
          <w:b/>
        </w:rPr>
      </w:pPr>
      <w:r w:rsidRPr="006B62E5">
        <w:rPr>
          <w:rFonts w:ascii="Arial" w:eastAsia="Arial" w:hAnsi="Arial" w:cs="Arial"/>
          <w:b/>
        </w:rPr>
        <w:t>J</w:t>
      </w:r>
      <w:r w:rsidR="00647E15" w:rsidRPr="006B62E5">
        <w:rPr>
          <w:rFonts w:ascii="Arial" w:eastAsia="Arial" w:hAnsi="Arial" w:cs="Arial"/>
          <w:b/>
        </w:rPr>
        <w:t>ohn C. Rodney</w:t>
      </w:r>
    </w:p>
    <w:p w14:paraId="05A27768" w14:textId="65DFD200" w:rsidR="00647E15" w:rsidRPr="006B62E5" w:rsidRDefault="00647E15" w:rsidP="00A418E0">
      <w:pPr>
        <w:rPr>
          <w:rFonts w:ascii="Arial" w:eastAsia="Arial" w:hAnsi="Arial" w:cs="Arial"/>
          <w:b/>
        </w:rPr>
      </w:pPr>
      <w:r w:rsidRPr="006B62E5">
        <w:rPr>
          <w:rFonts w:ascii="Arial" w:eastAsia="Arial" w:hAnsi="Arial" w:cs="Arial"/>
          <w:b/>
        </w:rPr>
        <w:t>Clark Hill PLC</w:t>
      </w:r>
    </w:p>
    <w:p w14:paraId="4238053B" w14:textId="7F287AD3" w:rsidR="00647E15" w:rsidRPr="006B62E5" w:rsidRDefault="00647E15" w:rsidP="00A418E0">
      <w:pPr>
        <w:rPr>
          <w:rFonts w:ascii="Arial" w:eastAsia="Arial" w:hAnsi="Arial" w:cs="Arial"/>
          <w:b/>
        </w:rPr>
      </w:pPr>
      <w:r w:rsidRPr="006B62E5">
        <w:rPr>
          <w:rFonts w:ascii="Arial" w:eastAsia="Arial" w:hAnsi="Arial" w:cs="Arial"/>
          <w:b/>
        </w:rPr>
        <w:t>412-780-2475</w:t>
      </w:r>
    </w:p>
    <w:p w14:paraId="567A8CB5" w14:textId="3490F223" w:rsidR="00CA6930" w:rsidRDefault="00CA6930" w:rsidP="00A418E0">
      <w:pPr>
        <w:rPr>
          <w:rFonts w:ascii="Arial" w:eastAsia="Arial" w:hAnsi="Arial" w:cs="Arial"/>
          <w:b/>
          <w:sz w:val="20"/>
          <w:szCs w:val="20"/>
        </w:rPr>
      </w:pPr>
      <w:hyperlink r:id="rId10" w:history="1">
        <w:r w:rsidRPr="006B62E5">
          <w:rPr>
            <w:rStyle w:val="Hyperlink"/>
            <w:rFonts w:ascii="Arial" w:eastAsia="Arial" w:hAnsi="Arial" w:cs="Arial"/>
            <w:b/>
          </w:rPr>
          <w:t>jrodney@clarkhill.com</w:t>
        </w:r>
      </w:hyperlink>
    </w:p>
    <w:p w14:paraId="2534CB4A" w14:textId="77777777" w:rsidR="00CA6930" w:rsidRDefault="00CA6930">
      <w:pPr>
        <w:autoSpaceDE/>
        <w:autoSpaceDN/>
        <w:adjustRightInd/>
        <w:rPr>
          <w:rFonts w:ascii="Arial" w:eastAsia="Arial" w:hAnsi="Arial" w:cs="Arial"/>
          <w:b/>
          <w:sz w:val="20"/>
          <w:szCs w:val="20"/>
        </w:rPr>
      </w:pPr>
      <w:r>
        <w:rPr>
          <w:rFonts w:ascii="Arial" w:eastAsia="Arial" w:hAnsi="Arial" w:cs="Arial"/>
          <w:b/>
          <w:sz w:val="20"/>
          <w:szCs w:val="20"/>
        </w:rPr>
        <w:br w:type="page"/>
      </w:r>
    </w:p>
    <w:tbl>
      <w:tblPr>
        <w:tblW w:w="9904" w:type="dxa"/>
        <w:tblLook w:val="04A0" w:firstRow="1" w:lastRow="0" w:firstColumn="1" w:lastColumn="0" w:noHBand="0" w:noVBand="1"/>
      </w:tblPr>
      <w:tblGrid>
        <w:gridCol w:w="3700"/>
        <w:gridCol w:w="1740"/>
        <w:gridCol w:w="1390"/>
        <w:gridCol w:w="259"/>
        <w:gridCol w:w="1401"/>
        <w:gridCol w:w="620"/>
        <w:gridCol w:w="1060"/>
      </w:tblGrid>
      <w:tr w:rsidR="00CA6930" w:rsidRPr="00CA6930" w14:paraId="546337A0" w14:textId="77777777" w:rsidTr="00CA6930">
        <w:trPr>
          <w:trHeight w:val="260"/>
        </w:trPr>
        <w:tc>
          <w:tcPr>
            <w:tcW w:w="3700" w:type="dxa"/>
            <w:tcBorders>
              <w:top w:val="nil"/>
              <w:left w:val="nil"/>
              <w:bottom w:val="nil"/>
              <w:right w:val="nil"/>
            </w:tcBorders>
            <w:noWrap/>
            <w:vAlign w:val="bottom"/>
            <w:hideMark/>
          </w:tcPr>
          <w:p w14:paraId="25AF93C5" w14:textId="77777777" w:rsidR="00CA6930" w:rsidRPr="00CA6930" w:rsidRDefault="00CA6930" w:rsidP="00CA6930">
            <w:pPr>
              <w:autoSpaceDE/>
              <w:autoSpaceDN/>
              <w:adjustRightInd/>
              <w:rPr>
                <w:rFonts w:ascii="Arial" w:hAnsi="Arial" w:cs="Arial"/>
                <w:sz w:val="28"/>
                <w:szCs w:val="28"/>
                <w:lang w:eastAsia="en-US"/>
              </w:rPr>
            </w:pPr>
            <w:proofErr w:type="spellStart"/>
            <w:r w:rsidRPr="00CA6930">
              <w:rPr>
                <w:rFonts w:ascii="Arial" w:hAnsi="Arial" w:cs="Arial"/>
                <w:sz w:val="28"/>
                <w:szCs w:val="28"/>
                <w:lang w:eastAsia="en-US"/>
              </w:rPr>
              <w:lastRenderedPageBreak/>
              <w:t>Premoney</w:t>
            </w:r>
            <w:proofErr w:type="spellEnd"/>
            <w:r w:rsidRPr="00CA6930">
              <w:rPr>
                <w:rFonts w:ascii="Arial" w:hAnsi="Arial" w:cs="Arial"/>
                <w:sz w:val="28"/>
                <w:szCs w:val="28"/>
                <w:lang w:eastAsia="en-US"/>
              </w:rPr>
              <w:t xml:space="preserve"> Value Illustration</w:t>
            </w:r>
          </w:p>
        </w:tc>
        <w:tc>
          <w:tcPr>
            <w:tcW w:w="1740" w:type="dxa"/>
            <w:tcBorders>
              <w:top w:val="nil"/>
              <w:left w:val="nil"/>
              <w:bottom w:val="nil"/>
              <w:right w:val="nil"/>
            </w:tcBorders>
            <w:noWrap/>
            <w:vAlign w:val="bottom"/>
            <w:hideMark/>
          </w:tcPr>
          <w:p w14:paraId="5BC4BDF0"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Example 1</w:t>
            </w:r>
          </w:p>
        </w:tc>
        <w:tc>
          <w:tcPr>
            <w:tcW w:w="1166" w:type="dxa"/>
            <w:tcBorders>
              <w:top w:val="nil"/>
              <w:left w:val="nil"/>
              <w:bottom w:val="nil"/>
              <w:right w:val="nil"/>
            </w:tcBorders>
            <w:noWrap/>
            <w:vAlign w:val="bottom"/>
            <w:hideMark/>
          </w:tcPr>
          <w:p w14:paraId="0C525EE3"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0BCF10E9"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Example 2</w:t>
            </w:r>
          </w:p>
        </w:tc>
        <w:tc>
          <w:tcPr>
            <w:tcW w:w="1680" w:type="dxa"/>
            <w:gridSpan w:val="2"/>
            <w:tcBorders>
              <w:top w:val="nil"/>
              <w:left w:val="nil"/>
              <w:bottom w:val="nil"/>
              <w:right w:val="nil"/>
            </w:tcBorders>
            <w:noWrap/>
            <w:vAlign w:val="bottom"/>
            <w:hideMark/>
          </w:tcPr>
          <w:p w14:paraId="231E16F3" w14:textId="77777777" w:rsidR="00CA6930" w:rsidRPr="00CA6930" w:rsidRDefault="00CA6930" w:rsidP="00CA6930">
            <w:pPr>
              <w:autoSpaceDE/>
              <w:autoSpaceDN/>
              <w:adjustRightInd/>
              <w:rPr>
                <w:sz w:val="28"/>
                <w:szCs w:val="28"/>
                <w:lang w:eastAsia="en-US"/>
              </w:rPr>
            </w:pPr>
          </w:p>
        </w:tc>
      </w:tr>
      <w:tr w:rsidR="00CA6930" w:rsidRPr="00CA6930" w14:paraId="14E89DD5" w14:textId="77777777" w:rsidTr="00CA6930">
        <w:trPr>
          <w:trHeight w:val="260"/>
        </w:trPr>
        <w:tc>
          <w:tcPr>
            <w:tcW w:w="3700" w:type="dxa"/>
            <w:tcBorders>
              <w:top w:val="nil"/>
              <w:left w:val="nil"/>
              <w:bottom w:val="nil"/>
              <w:right w:val="nil"/>
            </w:tcBorders>
            <w:noWrap/>
            <w:vAlign w:val="bottom"/>
            <w:hideMark/>
          </w:tcPr>
          <w:p w14:paraId="7D59DCAC" w14:textId="77777777" w:rsidR="00CA6930" w:rsidRPr="00CA6930" w:rsidRDefault="00CA6930" w:rsidP="00CA6930">
            <w:pPr>
              <w:autoSpaceDE/>
              <w:autoSpaceDN/>
              <w:adjustRightInd/>
              <w:rPr>
                <w:sz w:val="28"/>
                <w:szCs w:val="28"/>
                <w:lang w:eastAsia="en-US"/>
              </w:rPr>
            </w:pPr>
          </w:p>
        </w:tc>
        <w:tc>
          <w:tcPr>
            <w:tcW w:w="1740" w:type="dxa"/>
            <w:tcBorders>
              <w:top w:val="nil"/>
              <w:left w:val="nil"/>
              <w:bottom w:val="nil"/>
              <w:right w:val="nil"/>
            </w:tcBorders>
            <w:noWrap/>
            <w:vAlign w:val="bottom"/>
            <w:hideMark/>
          </w:tcPr>
          <w:p w14:paraId="7B73B3BB" w14:textId="77777777" w:rsidR="00CA6930" w:rsidRPr="00CA6930" w:rsidRDefault="00CA6930" w:rsidP="00CA6930">
            <w:pPr>
              <w:autoSpaceDE/>
              <w:autoSpaceDN/>
              <w:adjustRightInd/>
              <w:rPr>
                <w:sz w:val="28"/>
                <w:szCs w:val="28"/>
                <w:lang w:eastAsia="en-US"/>
              </w:rPr>
            </w:pPr>
          </w:p>
        </w:tc>
        <w:tc>
          <w:tcPr>
            <w:tcW w:w="1166" w:type="dxa"/>
            <w:tcBorders>
              <w:top w:val="nil"/>
              <w:left w:val="nil"/>
              <w:bottom w:val="nil"/>
              <w:right w:val="nil"/>
            </w:tcBorders>
            <w:noWrap/>
            <w:vAlign w:val="bottom"/>
            <w:hideMark/>
          </w:tcPr>
          <w:p w14:paraId="77C47379"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730C81A4" w14:textId="77777777" w:rsidR="00CA6930" w:rsidRPr="00CA6930" w:rsidRDefault="00CA6930" w:rsidP="00CA6930">
            <w:pPr>
              <w:autoSpaceDE/>
              <w:autoSpaceDN/>
              <w:adjustRightInd/>
              <w:rPr>
                <w:sz w:val="28"/>
                <w:szCs w:val="28"/>
                <w:lang w:eastAsia="en-US"/>
              </w:rPr>
            </w:pPr>
          </w:p>
        </w:tc>
        <w:tc>
          <w:tcPr>
            <w:tcW w:w="1680" w:type="dxa"/>
            <w:gridSpan w:val="2"/>
            <w:tcBorders>
              <w:top w:val="nil"/>
              <w:left w:val="nil"/>
              <w:bottom w:val="nil"/>
              <w:right w:val="nil"/>
            </w:tcBorders>
            <w:noWrap/>
            <w:vAlign w:val="bottom"/>
            <w:hideMark/>
          </w:tcPr>
          <w:p w14:paraId="5AE817DF" w14:textId="77777777" w:rsidR="00CA6930" w:rsidRPr="00CA6930" w:rsidRDefault="00CA6930" w:rsidP="00CA6930">
            <w:pPr>
              <w:autoSpaceDE/>
              <w:autoSpaceDN/>
              <w:adjustRightInd/>
              <w:rPr>
                <w:sz w:val="28"/>
                <w:szCs w:val="28"/>
                <w:lang w:eastAsia="en-US"/>
              </w:rPr>
            </w:pPr>
          </w:p>
        </w:tc>
      </w:tr>
      <w:tr w:rsidR="00CA6930" w:rsidRPr="00CA6930" w14:paraId="77E006D7" w14:textId="77777777" w:rsidTr="00CA6930">
        <w:trPr>
          <w:trHeight w:val="260"/>
        </w:trPr>
        <w:tc>
          <w:tcPr>
            <w:tcW w:w="3700" w:type="dxa"/>
            <w:tcBorders>
              <w:top w:val="nil"/>
              <w:left w:val="nil"/>
              <w:bottom w:val="nil"/>
              <w:right w:val="nil"/>
            </w:tcBorders>
            <w:noWrap/>
            <w:vAlign w:val="bottom"/>
            <w:hideMark/>
          </w:tcPr>
          <w:p w14:paraId="3AFBA35C"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Shares Outstanding</w:t>
            </w:r>
          </w:p>
        </w:tc>
        <w:tc>
          <w:tcPr>
            <w:tcW w:w="1740" w:type="dxa"/>
            <w:tcBorders>
              <w:top w:val="nil"/>
              <w:left w:val="nil"/>
              <w:bottom w:val="nil"/>
              <w:right w:val="nil"/>
            </w:tcBorders>
            <w:noWrap/>
            <w:vAlign w:val="bottom"/>
            <w:hideMark/>
          </w:tcPr>
          <w:p w14:paraId="62B6D5FD"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100,000</w:t>
            </w:r>
          </w:p>
        </w:tc>
        <w:tc>
          <w:tcPr>
            <w:tcW w:w="1166" w:type="dxa"/>
            <w:tcBorders>
              <w:top w:val="nil"/>
              <w:left w:val="nil"/>
              <w:bottom w:val="nil"/>
              <w:right w:val="nil"/>
            </w:tcBorders>
            <w:noWrap/>
            <w:vAlign w:val="bottom"/>
            <w:hideMark/>
          </w:tcPr>
          <w:p w14:paraId="6FD8CEB5"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017D8072"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100,000</w:t>
            </w:r>
          </w:p>
        </w:tc>
        <w:tc>
          <w:tcPr>
            <w:tcW w:w="1680" w:type="dxa"/>
            <w:gridSpan w:val="2"/>
            <w:tcBorders>
              <w:top w:val="nil"/>
              <w:left w:val="nil"/>
              <w:bottom w:val="nil"/>
              <w:right w:val="nil"/>
            </w:tcBorders>
            <w:noWrap/>
            <w:vAlign w:val="bottom"/>
            <w:hideMark/>
          </w:tcPr>
          <w:p w14:paraId="307E49C0" w14:textId="77777777" w:rsidR="00CA6930" w:rsidRPr="00CA6930" w:rsidRDefault="00CA6930" w:rsidP="00CA6930">
            <w:pPr>
              <w:autoSpaceDE/>
              <w:autoSpaceDN/>
              <w:adjustRightInd/>
              <w:rPr>
                <w:sz w:val="28"/>
                <w:szCs w:val="28"/>
                <w:lang w:eastAsia="en-US"/>
              </w:rPr>
            </w:pPr>
          </w:p>
        </w:tc>
      </w:tr>
      <w:tr w:rsidR="00CA6930" w:rsidRPr="00CA6930" w14:paraId="1E3A6E98" w14:textId="77777777" w:rsidTr="00CA6930">
        <w:trPr>
          <w:trHeight w:val="260"/>
        </w:trPr>
        <w:tc>
          <w:tcPr>
            <w:tcW w:w="3700" w:type="dxa"/>
            <w:tcBorders>
              <w:top w:val="nil"/>
              <w:left w:val="nil"/>
              <w:bottom w:val="nil"/>
              <w:right w:val="nil"/>
            </w:tcBorders>
            <w:noWrap/>
            <w:vAlign w:val="bottom"/>
            <w:hideMark/>
          </w:tcPr>
          <w:p w14:paraId="687359DE"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Option Pool</w:t>
            </w:r>
          </w:p>
        </w:tc>
        <w:tc>
          <w:tcPr>
            <w:tcW w:w="1740" w:type="dxa"/>
            <w:tcBorders>
              <w:top w:val="nil"/>
              <w:left w:val="nil"/>
              <w:bottom w:val="nil"/>
              <w:right w:val="nil"/>
            </w:tcBorders>
            <w:noWrap/>
            <w:vAlign w:val="bottom"/>
            <w:hideMark/>
          </w:tcPr>
          <w:p w14:paraId="2C4B8BEA"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10,000</w:t>
            </w:r>
          </w:p>
        </w:tc>
        <w:tc>
          <w:tcPr>
            <w:tcW w:w="1166" w:type="dxa"/>
            <w:tcBorders>
              <w:top w:val="nil"/>
              <w:left w:val="nil"/>
              <w:bottom w:val="nil"/>
              <w:right w:val="nil"/>
            </w:tcBorders>
            <w:noWrap/>
            <w:vAlign w:val="bottom"/>
            <w:hideMark/>
          </w:tcPr>
          <w:p w14:paraId="5A435B60"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7C57250A"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10,000</w:t>
            </w:r>
          </w:p>
        </w:tc>
        <w:tc>
          <w:tcPr>
            <w:tcW w:w="1680" w:type="dxa"/>
            <w:gridSpan w:val="2"/>
            <w:tcBorders>
              <w:top w:val="nil"/>
              <w:left w:val="nil"/>
              <w:bottom w:val="nil"/>
              <w:right w:val="nil"/>
            </w:tcBorders>
            <w:noWrap/>
            <w:vAlign w:val="bottom"/>
            <w:hideMark/>
          </w:tcPr>
          <w:p w14:paraId="256491CF" w14:textId="77777777" w:rsidR="00CA6930" w:rsidRPr="00CA6930" w:rsidRDefault="00CA6930" w:rsidP="00CA6930">
            <w:pPr>
              <w:autoSpaceDE/>
              <w:autoSpaceDN/>
              <w:adjustRightInd/>
              <w:rPr>
                <w:sz w:val="28"/>
                <w:szCs w:val="28"/>
                <w:lang w:eastAsia="en-US"/>
              </w:rPr>
            </w:pPr>
          </w:p>
        </w:tc>
      </w:tr>
      <w:tr w:rsidR="00CA6930" w:rsidRPr="00CA6930" w14:paraId="6D5E9E97" w14:textId="77777777" w:rsidTr="00CA6930">
        <w:trPr>
          <w:trHeight w:val="260"/>
        </w:trPr>
        <w:tc>
          <w:tcPr>
            <w:tcW w:w="3700" w:type="dxa"/>
            <w:tcBorders>
              <w:top w:val="nil"/>
              <w:left w:val="nil"/>
              <w:bottom w:val="nil"/>
              <w:right w:val="nil"/>
            </w:tcBorders>
            <w:noWrap/>
            <w:vAlign w:val="bottom"/>
            <w:hideMark/>
          </w:tcPr>
          <w:p w14:paraId="42B18021"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Warrants</w:t>
            </w:r>
          </w:p>
        </w:tc>
        <w:tc>
          <w:tcPr>
            <w:tcW w:w="1740" w:type="dxa"/>
            <w:tcBorders>
              <w:top w:val="nil"/>
              <w:left w:val="nil"/>
              <w:bottom w:val="nil"/>
              <w:right w:val="nil"/>
            </w:tcBorders>
            <w:noWrap/>
            <w:vAlign w:val="bottom"/>
            <w:hideMark/>
          </w:tcPr>
          <w:p w14:paraId="2E8D53B2"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6,000</w:t>
            </w:r>
          </w:p>
        </w:tc>
        <w:tc>
          <w:tcPr>
            <w:tcW w:w="1166" w:type="dxa"/>
            <w:tcBorders>
              <w:top w:val="nil"/>
              <w:left w:val="nil"/>
              <w:bottom w:val="nil"/>
              <w:right w:val="nil"/>
            </w:tcBorders>
            <w:noWrap/>
            <w:vAlign w:val="bottom"/>
            <w:hideMark/>
          </w:tcPr>
          <w:p w14:paraId="25CE08D9"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77A9D884"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6,000</w:t>
            </w:r>
          </w:p>
        </w:tc>
        <w:tc>
          <w:tcPr>
            <w:tcW w:w="1680" w:type="dxa"/>
            <w:gridSpan w:val="2"/>
            <w:tcBorders>
              <w:top w:val="nil"/>
              <w:left w:val="nil"/>
              <w:bottom w:val="nil"/>
              <w:right w:val="nil"/>
            </w:tcBorders>
            <w:noWrap/>
            <w:vAlign w:val="bottom"/>
            <w:hideMark/>
          </w:tcPr>
          <w:p w14:paraId="55E2803E" w14:textId="77777777" w:rsidR="00CA6930" w:rsidRPr="00CA6930" w:rsidRDefault="00CA6930" w:rsidP="00CA6930">
            <w:pPr>
              <w:autoSpaceDE/>
              <w:autoSpaceDN/>
              <w:adjustRightInd/>
              <w:rPr>
                <w:sz w:val="28"/>
                <w:szCs w:val="28"/>
                <w:lang w:eastAsia="en-US"/>
              </w:rPr>
            </w:pPr>
          </w:p>
        </w:tc>
      </w:tr>
      <w:tr w:rsidR="00CA6930" w:rsidRPr="00CA6930" w14:paraId="539DFA67" w14:textId="77777777" w:rsidTr="00CA6930">
        <w:trPr>
          <w:trHeight w:val="260"/>
        </w:trPr>
        <w:tc>
          <w:tcPr>
            <w:tcW w:w="3700" w:type="dxa"/>
            <w:tcBorders>
              <w:top w:val="nil"/>
              <w:left w:val="nil"/>
              <w:bottom w:val="nil"/>
              <w:right w:val="nil"/>
            </w:tcBorders>
            <w:noWrap/>
            <w:vAlign w:val="bottom"/>
            <w:hideMark/>
          </w:tcPr>
          <w:p w14:paraId="61F6FF6A"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Fully Diluted Shares</w:t>
            </w:r>
          </w:p>
        </w:tc>
        <w:tc>
          <w:tcPr>
            <w:tcW w:w="1740" w:type="dxa"/>
            <w:tcBorders>
              <w:top w:val="nil"/>
              <w:left w:val="nil"/>
              <w:bottom w:val="nil"/>
              <w:right w:val="nil"/>
            </w:tcBorders>
            <w:noWrap/>
            <w:vAlign w:val="bottom"/>
            <w:hideMark/>
          </w:tcPr>
          <w:p w14:paraId="5BB16963"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116,000</w:t>
            </w:r>
          </w:p>
        </w:tc>
        <w:tc>
          <w:tcPr>
            <w:tcW w:w="1166" w:type="dxa"/>
            <w:tcBorders>
              <w:top w:val="nil"/>
              <w:left w:val="nil"/>
              <w:bottom w:val="nil"/>
              <w:right w:val="nil"/>
            </w:tcBorders>
            <w:noWrap/>
            <w:vAlign w:val="bottom"/>
            <w:hideMark/>
          </w:tcPr>
          <w:p w14:paraId="60BF8C1A"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4150B0CE"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116,000</w:t>
            </w:r>
          </w:p>
        </w:tc>
        <w:tc>
          <w:tcPr>
            <w:tcW w:w="1680" w:type="dxa"/>
            <w:gridSpan w:val="2"/>
            <w:tcBorders>
              <w:top w:val="nil"/>
              <w:left w:val="nil"/>
              <w:bottom w:val="nil"/>
              <w:right w:val="nil"/>
            </w:tcBorders>
            <w:noWrap/>
            <w:vAlign w:val="bottom"/>
            <w:hideMark/>
          </w:tcPr>
          <w:p w14:paraId="1FB73CA3" w14:textId="77777777" w:rsidR="00CA6930" w:rsidRPr="00CA6930" w:rsidRDefault="00CA6930" w:rsidP="00CA6930">
            <w:pPr>
              <w:autoSpaceDE/>
              <w:autoSpaceDN/>
              <w:adjustRightInd/>
              <w:rPr>
                <w:sz w:val="28"/>
                <w:szCs w:val="28"/>
                <w:lang w:eastAsia="en-US"/>
              </w:rPr>
            </w:pPr>
          </w:p>
        </w:tc>
      </w:tr>
      <w:tr w:rsidR="00CA6930" w:rsidRPr="00CA6930" w14:paraId="4AA46D02" w14:textId="77777777" w:rsidTr="00CA6930">
        <w:trPr>
          <w:trHeight w:val="260"/>
        </w:trPr>
        <w:tc>
          <w:tcPr>
            <w:tcW w:w="3700" w:type="dxa"/>
            <w:tcBorders>
              <w:top w:val="nil"/>
              <w:left w:val="nil"/>
              <w:bottom w:val="nil"/>
              <w:right w:val="nil"/>
            </w:tcBorders>
            <w:noWrap/>
            <w:vAlign w:val="bottom"/>
            <w:hideMark/>
          </w:tcPr>
          <w:p w14:paraId="6E9C1C4E" w14:textId="77777777" w:rsidR="00CA6930" w:rsidRPr="00CA6930" w:rsidRDefault="00CA6930" w:rsidP="00CA6930">
            <w:pPr>
              <w:autoSpaceDE/>
              <w:autoSpaceDN/>
              <w:adjustRightInd/>
              <w:rPr>
                <w:sz w:val="28"/>
                <w:szCs w:val="28"/>
                <w:lang w:eastAsia="en-US"/>
              </w:rPr>
            </w:pPr>
          </w:p>
        </w:tc>
        <w:tc>
          <w:tcPr>
            <w:tcW w:w="1740" w:type="dxa"/>
            <w:tcBorders>
              <w:top w:val="nil"/>
              <w:left w:val="nil"/>
              <w:bottom w:val="nil"/>
              <w:right w:val="nil"/>
            </w:tcBorders>
            <w:noWrap/>
            <w:vAlign w:val="bottom"/>
            <w:hideMark/>
          </w:tcPr>
          <w:p w14:paraId="75F6C2D6" w14:textId="77777777" w:rsidR="00CA6930" w:rsidRPr="00CA6930" w:rsidRDefault="00CA6930" w:rsidP="00CA6930">
            <w:pPr>
              <w:autoSpaceDE/>
              <w:autoSpaceDN/>
              <w:adjustRightInd/>
              <w:rPr>
                <w:sz w:val="28"/>
                <w:szCs w:val="28"/>
                <w:lang w:eastAsia="en-US"/>
              </w:rPr>
            </w:pPr>
          </w:p>
        </w:tc>
        <w:tc>
          <w:tcPr>
            <w:tcW w:w="1166" w:type="dxa"/>
            <w:tcBorders>
              <w:top w:val="nil"/>
              <w:left w:val="nil"/>
              <w:bottom w:val="nil"/>
              <w:right w:val="nil"/>
            </w:tcBorders>
            <w:noWrap/>
            <w:vAlign w:val="bottom"/>
            <w:hideMark/>
          </w:tcPr>
          <w:p w14:paraId="3217B6CE"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149FBBB1" w14:textId="77777777" w:rsidR="00CA6930" w:rsidRPr="00CA6930" w:rsidRDefault="00CA6930" w:rsidP="00CA6930">
            <w:pPr>
              <w:autoSpaceDE/>
              <w:autoSpaceDN/>
              <w:adjustRightInd/>
              <w:rPr>
                <w:sz w:val="28"/>
                <w:szCs w:val="28"/>
                <w:lang w:eastAsia="en-US"/>
              </w:rPr>
            </w:pPr>
          </w:p>
        </w:tc>
        <w:tc>
          <w:tcPr>
            <w:tcW w:w="1680" w:type="dxa"/>
            <w:gridSpan w:val="2"/>
            <w:tcBorders>
              <w:top w:val="nil"/>
              <w:left w:val="nil"/>
              <w:bottom w:val="nil"/>
              <w:right w:val="nil"/>
            </w:tcBorders>
            <w:noWrap/>
            <w:vAlign w:val="bottom"/>
            <w:hideMark/>
          </w:tcPr>
          <w:p w14:paraId="6DA4141C" w14:textId="77777777" w:rsidR="00CA6930" w:rsidRPr="00CA6930" w:rsidRDefault="00CA6930" w:rsidP="00CA6930">
            <w:pPr>
              <w:autoSpaceDE/>
              <w:autoSpaceDN/>
              <w:adjustRightInd/>
              <w:rPr>
                <w:sz w:val="28"/>
                <w:szCs w:val="28"/>
                <w:lang w:eastAsia="en-US"/>
              </w:rPr>
            </w:pPr>
          </w:p>
        </w:tc>
      </w:tr>
      <w:tr w:rsidR="00CA6930" w:rsidRPr="00CA6930" w14:paraId="05CE9A55" w14:textId="77777777" w:rsidTr="00CA6930">
        <w:trPr>
          <w:trHeight w:val="260"/>
        </w:trPr>
        <w:tc>
          <w:tcPr>
            <w:tcW w:w="3700" w:type="dxa"/>
            <w:tcBorders>
              <w:top w:val="nil"/>
              <w:left w:val="nil"/>
              <w:bottom w:val="nil"/>
              <w:right w:val="nil"/>
            </w:tcBorders>
            <w:noWrap/>
            <w:vAlign w:val="bottom"/>
            <w:hideMark/>
          </w:tcPr>
          <w:p w14:paraId="20F6C2B7" w14:textId="77777777" w:rsidR="00CA6930" w:rsidRPr="00CA6930" w:rsidRDefault="00CA6930" w:rsidP="00CA6930">
            <w:pPr>
              <w:autoSpaceDE/>
              <w:autoSpaceDN/>
              <w:adjustRightInd/>
              <w:rPr>
                <w:rFonts w:ascii="Arial" w:hAnsi="Arial" w:cs="Arial"/>
                <w:sz w:val="28"/>
                <w:szCs w:val="28"/>
                <w:lang w:eastAsia="en-US"/>
              </w:rPr>
            </w:pPr>
            <w:proofErr w:type="spellStart"/>
            <w:r w:rsidRPr="00CA6930">
              <w:rPr>
                <w:rFonts w:ascii="Arial" w:hAnsi="Arial" w:cs="Arial"/>
                <w:sz w:val="28"/>
                <w:szCs w:val="28"/>
                <w:lang w:eastAsia="en-US"/>
              </w:rPr>
              <w:t>Premoney</w:t>
            </w:r>
            <w:proofErr w:type="spellEnd"/>
            <w:r w:rsidRPr="00CA6930">
              <w:rPr>
                <w:rFonts w:ascii="Arial" w:hAnsi="Arial" w:cs="Arial"/>
                <w:sz w:val="28"/>
                <w:szCs w:val="28"/>
                <w:lang w:eastAsia="en-US"/>
              </w:rPr>
              <w:t xml:space="preserve"> Value</w:t>
            </w:r>
          </w:p>
        </w:tc>
        <w:tc>
          <w:tcPr>
            <w:tcW w:w="1740" w:type="dxa"/>
            <w:tcBorders>
              <w:top w:val="nil"/>
              <w:left w:val="nil"/>
              <w:bottom w:val="nil"/>
              <w:right w:val="nil"/>
            </w:tcBorders>
            <w:noWrap/>
            <w:vAlign w:val="bottom"/>
            <w:hideMark/>
          </w:tcPr>
          <w:p w14:paraId="3598A9EB"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color w:val="FF0000"/>
                <w:sz w:val="28"/>
                <w:szCs w:val="28"/>
                <w:lang w:eastAsia="en-US"/>
              </w:rPr>
              <w:t>4,000,000</w:t>
            </w:r>
          </w:p>
        </w:tc>
        <w:tc>
          <w:tcPr>
            <w:tcW w:w="1166" w:type="dxa"/>
            <w:tcBorders>
              <w:top w:val="nil"/>
              <w:left w:val="nil"/>
              <w:bottom w:val="nil"/>
              <w:right w:val="nil"/>
            </w:tcBorders>
            <w:noWrap/>
            <w:vAlign w:val="bottom"/>
            <w:hideMark/>
          </w:tcPr>
          <w:p w14:paraId="7BB069F2"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7CCEC463"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color w:val="FF0000"/>
                <w:sz w:val="28"/>
                <w:szCs w:val="28"/>
                <w:lang w:eastAsia="en-US"/>
              </w:rPr>
              <w:t>10,000,000</w:t>
            </w:r>
          </w:p>
        </w:tc>
        <w:tc>
          <w:tcPr>
            <w:tcW w:w="1680" w:type="dxa"/>
            <w:gridSpan w:val="2"/>
            <w:tcBorders>
              <w:top w:val="nil"/>
              <w:left w:val="nil"/>
              <w:bottom w:val="nil"/>
              <w:right w:val="nil"/>
            </w:tcBorders>
            <w:noWrap/>
            <w:vAlign w:val="bottom"/>
            <w:hideMark/>
          </w:tcPr>
          <w:p w14:paraId="73A46BF5" w14:textId="77777777" w:rsidR="00CA6930" w:rsidRPr="00CA6930" w:rsidRDefault="00CA6930" w:rsidP="00CA6930">
            <w:pPr>
              <w:autoSpaceDE/>
              <w:autoSpaceDN/>
              <w:adjustRightInd/>
              <w:rPr>
                <w:sz w:val="28"/>
                <w:szCs w:val="28"/>
                <w:lang w:eastAsia="en-US"/>
              </w:rPr>
            </w:pPr>
          </w:p>
        </w:tc>
      </w:tr>
      <w:tr w:rsidR="00CA6930" w:rsidRPr="00CA6930" w14:paraId="4A6D12B4" w14:textId="77777777" w:rsidTr="00CA6930">
        <w:trPr>
          <w:trHeight w:val="260"/>
        </w:trPr>
        <w:tc>
          <w:tcPr>
            <w:tcW w:w="3700" w:type="dxa"/>
            <w:tcBorders>
              <w:top w:val="nil"/>
              <w:left w:val="nil"/>
              <w:bottom w:val="nil"/>
              <w:right w:val="nil"/>
            </w:tcBorders>
            <w:noWrap/>
            <w:vAlign w:val="bottom"/>
            <w:hideMark/>
          </w:tcPr>
          <w:p w14:paraId="620359D0"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Fully Diluted Shares</w:t>
            </w:r>
          </w:p>
        </w:tc>
        <w:tc>
          <w:tcPr>
            <w:tcW w:w="1740" w:type="dxa"/>
            <w:tcBorders>
              <w:top w:val="nil"/>
              <w:left w:val="nil"/>
              <w:bottom w:val="nil"/>
              <w:right w:val="nil"/>
            </w:tcBorders>
            <w:noWrap/>
            <w:vAlign w:val="bottom"/>
            <w:hideMark/>
          </w:tcPr>
          <w:p w14:paraId="35995D79"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116,000</w:t>
            </w:r>
          </w:p>
        </w:tc>
        <w:tc>
          <w:tcPr>
            <w:tcW w:w="1166" w:type="dxa"/>
            <w:tcBorders>
              <w:top w:val="nil"/>
              <w:left w:val="nil"/>
              <w:bottom w:val="nil"/>
              <w:right w:val="nil"/>
            </w:tcBorders>
            <w:noWrap/>
            <w:vAlign w:val="bottom"/>
            <w:hideMark/>
          </w:tcPr>
          <w:p w14:paraId="421A8843"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4E090BEA"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116,000</w:t>
            </w:r>
          </w:p>
        </w:tc>
        <w:tc>
          <w:tcPr>
            <w:tcW w:w="1680" w:type="dxa"/>
            <w:gridSpan w:val="2"/>
            <w:tcBorders>
              <w:top w:val="nil"/>
              <w:left w:val="nil"/>
              <w:bottom w:val="nil"/>
              <w:right w:val="nil"/>
            </w:tcBorders>
            <w:noWrap/>
            <w:vAlign w:val="bottom"/>
            <w:hideMark/>
          </w:tcPr>
          <w:p w14:paraId="431652A3" w14:textId="77777777" w:rsidR="00CA6930" w:rsidRPr="00CA6930" w:rsidRDefault="00CA6930" w:rsidP="00CA6930">
            <w:pPr>
              <w:autoSpaceDE/>
              <w:autoSpaceDN/>
              <w:adjustRightInd/>
              <w:rPr>
                <w:sz w:val="28"/>
                <w:szCs w:val="28"/>
                <w:lang w:eastAsia="en-US"/>
              </w:rPr>
            </w:pPr>
          </w:p>
        </w:tc>
      </w:tr>
      <w:tr w:rsidR="00CA6930" w:rsidRPr="00CA6930" w14:paraId="071E6258" w14:textId="77777777" w:rsidTr="00CA6930">
        <w:trPr>
          <w:trHeight w:val="260"/>
        </w:trPr>
        <w:tc>
          <w:tcPr>
            <w:tcW w:w="3700" w:type="dxa"/>
            <w:tcBorders>
              <w:top w:val="nil"/>
              <w:left w:val="nil"/>
              <w:bottom w:val="nil"/>
              <w:right w:val="nil"/>
            </w:tcBorders>
            <w:noWrap/>
            <w:vAlign w:val="bottom"/>
            <w:hideMark/>
          </w:tcPr>
          <w:p w14:paraId="557354E9"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Price Per Share</w:t>
            </w:r>
          </w:p>
        </w:tc>
        <w:tc>
          <w:tcPr>
            <w:tcW w:w="1740" w:type="dxa"/>
            <w:tcBorders>
              <w:top w:val="nil"/>
              <w:left w:val="nil"/>
              <w:bottom w:val="nil"/>
              <w:right w:val="nil"/>
            </w:tcBorders>
            <w:noWrap/>
            <w:vAlign w:val="bottom"/>
            <w:hideMark/>
          </w:tcPr>
          <w:p w14:paraId="448D6076"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34.48</w:t>
            </w:r>
          </w:p>
        </w:tc>
        <w:tc>
          <w:tcPr>
            <w:tcW w:w="1166" w:type="dxa"/>
            <w:tcBorders>
              <w:top w:val="nil"/>
              <w:left w:val="nil"/>
              <w:bottom w:val="nil"/>
              <w:right w:val="nil"/>
            </w:tcBorders>
            <w:noWrap/>
            <w:vAlign w:val="bottom"/>
            <w:hideMark/>
          </w:tcPr>
          <w:p w14:paraId="4FCE5F3F"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266675E2"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86.21</w:t>
            </w:r>
          </w:p>
        </w:tc>
        <w:tc>
          <w:tcPr>
            <w:tcW w:w="1680" w:type="dxa"/>
            <w:gridSpan w:val="2"/>
            <w:tcBorders>
              <w:top w:val="nil"/>
              <w:left w:val="nil"/>
              <w:bottom w:val="nil"/>
              <w:right w:val="nil"/>
            </w:tcBorders>
            <w:noWrap/>
            <w:vAlign w:val="bottom"/>
            <w:hideMark/>
          </w:tcPr>
          <w:p w14:paraId="7E2C5DFB" w14:textId="77777777" w:rsidR="00CA6930" w:rsidRPr="00CA6930" w:rsidRDefault="00CA6930" w:rsidP="00CA6930">
            <w:pPr>
              <w:autoSpaceDE/>
              <w:autoSpaceDN/>
              <w:adjustRightInd/>
              <w:rPr>
                <w:sz w:val="28"/>
                <w:szCs w:val="28"/>
                <w:lang w:eastAsia="en-US"/>
              </w:rPr>
            </w:pPr>
          </w:p>
        </w:tc>
      </w:tr>
      <w:tr w:rsidR="00CA6930" w:rsidRPr="00CA6930" w14:paraId="4748F96B" w14:textId="77777777" w:rsidTr="00CA6930">
        <w:trPr>
          <w:trHeight w:val="260"/>
        </w:trPr>
        <w:tc>
          <w:tcPr>
            <w:tcW w:w="3700" w:type="dxa"/>
            <w:tcBorders>
              <w:top w:val="nil"/>
              <w:left w:val="nil"/>
              <w:bottom w:val="nil"/>
              <w:right w:val="nil"/>
            </w:tcBorders>
            <w:noWrap/>
            <w:vAlign w:val="bottom"/>
            <w:hideMark/>
          </w:tcPr>
          <w:p w14:paraId="33AF7CB2" w14:textId="77777777" w:rsidR="00CA6930" w:rsidRPr="00CA6930" w:rsidRDefault="00CA6930" w:rsidP="00CA6930">
            <w:pPr>
              <w:autoSpaceDE/>
              <w:autoSpaceDN/>
              <w:adjustRightInd/>
              <w:rPr>
                <w:sz w:val="28"/>
                <w:szCs w:val="28"/>
                <w:lang w:eastAsia="en-US"/>
              </w:rPr>
            </w:pPr>
          </w:p>
        </w:tc>
        <w:tc>
          <w:tcPr>
            <w:tcW w:w="1740" w:type="dxa"/>
            <w:tcBorders>
              <w:top w:val="nil"/>
              <w:left w:val="nil"/>
              <w:bottom w:val="nil"/>
              <w:right w:val="nil"/>
            </w:tcBorders>
            <w:noWrap/>
            <w:vAlign w:val="bottom"/>
            <w:hideMark/>
          </w:tcPr>
          <w:p w14:paraId="6E4F9160" w14:textId="77777777" w:rsidR="00CA6930" w:rsidRPr="00CA6930" w:rsidRDefault="00CA6930" w:rsidP="00CA6930">
            <w:pPr>
              <w:autoSpaceDE/>
              <w:autoSpaceDN/>
              <w:adjustRightInd/>
              <w:rPr>
                <w:sz w:val="28"/>
                <w:szCs w:val="28"/>
                <w:lang w:eastAsia="en-US"/>
              </w:rPr>
            </w:pPr>
          </w:p>
        </w:tc>
        <w:tc>
          <w:tcPr>
            <w:tcW w:w="1166" w:type="dxa"/>
            <w:tcBorders>
              <w:top w:val="nil"/>
              <w:left w:val="nil"/>
              <w:bottom w:val="nil"/>
              <w:right w:val="nil"/>
            </w:tcBorders>
            <w:noWrap/>
            <w:vAlign w:val="bottom"/>
            <w:hideMark/>
          </w:tcPr>
          <w:p w14:paraId="0E969CE1"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66B97C3D" w14:textId="77777777" w:rsidR="00CA6930" w:rsidRPr="00CA6930" w:rsidRDefault="00CA6930" w:rsidP="00CA6930">
            <w:pPr>
              <w:autoSpaceDE/>
              <w:autoSpaceDN/>
              <w:adjustRightInd/>
              <w:rPr>
                <w:sz w:val="28"/>
                <w:szCs w:val="28"/>
                <w:lang w:eastAsia="en-US"/>
              </w:rPr>
            </w:pPr>
          </w:p>
        </w:tc>
        <w:tc>
          <w:tcPr>
            <w:tcW w:w="1680" w:type="dxa"/>
            <w:gridSpan w:val="2"/>
            <w:tcBorders>
              <w:top w:val="nil"/>
              <w:left w:val="nil"/>
              <w:bottom w:val="nil"/>
              <w:right w:val="nil"/>
            </w:tcBorders>
            <w:noWrap/>
            <w:vAlign w:val="bottom"/>
            <w:hideMark/>
          </w:tcPr>
          <w:p w14:paraId="555C0C19" w14:textId="77777777" w:rsidR="00CA6930" w:rsidRPr="00CA6930" w:rsidRDefault="00CA6930" w:rsidP="00CA6930">
            <w:pPr>
              <w:autoSpaceDE/>
              <w:autoSpaceDN/>
              <w:adjustRightInd/>
              <w:rPr>
                <w:sz w:val="28"/>
                <w:szCs w:val="28"/>
                <w:lang w:eastAsia="en-US"/>
              </w:rPr>
            </w:pPr>
          </w:p>
        </w:tc>
      </w:tr>
      <w:tr w:rsidR="00CA6930" w:rsidRPr="00CA6930" w14:paraId="02BF2016" w14:textId="77777777" w:rsidTr="00CA6930">
        <w:trPr>
          <w:trHeight w:val="260"/>
        </w:trPr>
        <w:tc>
          <w:tcPr>
            <w:tcW w:w="3700" w:type="dxa"/>
            <w:tcBorders>
              <w:top w:val="nil"/>
              <w:left w:val="nil"/>
              <w:bottom w:val="nil"/>
              <w:right w:val="nil"/>
            </w:tcBorders>
            <w:noWrap/>
            <w:vAlign w:val="bottom"/>
            <w:hideMark/>
          </w:tcPr>
          <w:p w14:paraId="55954BA5"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Investment Amount</w:t>
            </w:r>
          </w:p>
        </w:tc>
        <w:tc>
          <w:tcPr>
            <w:tcW w:w="1740" w:type="dxa"/>
            <w:tcBorders>
              <w:top w:val="nil"/>
              <w:left w:val="nil"/>
              <w:bottom w:val="nil"/>
              <w:right w:val="nil"/>
            </w:tcBorders>
            <w:noWrap/>
            <w:vAlign w:val="bottom"/>
            <w:hideMark/>
          </w:tcPr>
          <w:p w14:paraId="5B83E79C"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1,500,000</w:t>
            </w:r>
          </w:p>
        </w:tc>
        <w:tc>
          <w:tcPr>
            <w:tcW w:w="1166" w:type="dxa"/>
            <w:tcBorders>
              <w:top w:val="nil"/>
              <w:left w:val="nil"/>
              <w:bottom w:val="nil"/>
              <w:right w:val="nil"/>
            </w:tcBorders>
            <w:noWrap/>
            <w:vAlign w:val="bottom"/>
            <w:hideMark/>
          </w:tcPr>
          <w:p w14:paraId="6EA1B182"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106E9C82"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1,500,000</w:t>
            </w:r>
          </w:p>
        </w:tc>
        <w:tc>
          <w:tcPr>
            <w:tcW w:w="1680" w:type="dxa"/>
            <w:gridSpan w:val="2"/>
            <w:tcBorders>
              <w:top w:val="nil"/>
              <w:left w:val="nil"/>
              <w:bottom w:val="nil"/>
              <w:right w:val="nil"/>
            </w:tcBorders>
            <w:noWrap/>
            <w:vAlign w:val="bottom"/>
            <w:hideMark/>
          </w:tcPr>
          <w:p w14:paraId="32F882CF" w14:textId="77777777" w:rsidR="00CA6930" w:rsidRPr="00CA6930" w:rsidRDefault="00CA6930" w:rsidP="00CA6930">
            <w:pPr>
              <w:autoSpaceDE/>
              <w:autoSpaceDN/>
              <w:adjustRightInd/>
              <w:rPr>
                <w:sz w:val="28"/>
                <w:szCs w:val="28"/>
                <w:lang w:eastAsia="en-US"/>
              </w:rPr>
            </w:pPr>
          </w:p>
        </w:tc>
      </w:tr>
      <w:tr w:rsidR="00CA6930" w:rsidRPr="00CA6930" w14:paraId="16D33499" w14:textId="77777777" w:rsidTr="00CA6930">
        <w:trPr>
          <w:trHeight w:val="260"/>
        </w:trPr>
        <w:tc>
          <w:tcPr>
            <w:tcW w:w="3700" w:type="dxa"/>
            <w:tcBorders>
              <w:top w:val="nil"/>
              <w:left w:val="nil"/>
              <w:bottom w:val="nil"/>
              <w:right w:val="nil"/>
            </w:tcBorders>
            <w:noWrap/>
            <w:vAlign w:val="bottom"/>
            <w:hideMark/>
          </w:tcPr>
          <w:p w14:paraId="793E9A25" w14:textId="77777777" w:rsidR="00CA6930" w:rsidRPr="00CA6930" w:rsidRDefault="00CA6930" w:rsidP="00CA6930">
            <w:pPr>
              <w:autoSpaceDE/>
              <w:autoSpaceDN/>
              <w:adjustRightInd/>
              <w:rPr>
                <w:rFonts w:ascii="Arial" w:hAnsi="Arial" w:cs="Arial"/>
                <w:sz w:val="28"/>
                <w:szCs w:val="28"/>
                <w:lang w:eastAsia="en-US"/>
              </w:rPr>
            </w:pPr>
            <w:proofErr w:type="spellStart"/>
            <w:r w:rsidRPr="00CA6930">
              <w:rPr>
                <w:rFonts w:ascii="Arial" w:hAnsi="Arial" w:cs="Arial"/>
                <w:sz w:val="28"/>
                <w:szCs w:val="28"/>
                <w:lang w:eastAsia="en-US"/>
              </w:rPr>
              <w:t>Postmoney</w:t>
            </w:r>
            <w:proofErr w:type="spellEnd"/>
            <w:r w:rsidRPr="00CA6930">
              <w:rPr>
                <w:rFonts w:ascii="Arial" w:hAnsi="Arial" w:cs="Arial"/>
                <w:sz w:val="28"/>
                <w:szCs w:val="28"/>
                <w:lang w:eastAsia="en-US"/>
              </w:rPr>
              <w:t xml:space="preserve"> Value</w:t>
            </w:r>
          </w:p>
        </w:tc>
        <w:tc>
          <w:tcPr>
            <w:tcW w:w="1740" w:type="dxa"/>
            <w:tcBorders>
              <w:top w:val="nil"/>
              <w:left w:val="nil"/>
              <w:bottom w:val="nil"/>
              <w:right w:val="nil"/>
            </w:tcBorders>
            <w:noWrap/>
            <w:vAlign w:val="bottom"/>
            <w:hideMark/>
          </w:tcPr>
          <w:p w14:paraId="71AC7973"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5,500,000</w:t>
            </w:r>
          </w:p>
        </w:tc>
        <w:tc>
          <w:tcPr>
            <w:tcW w:w="1166" w:type="dxa"/>
            <w:tcBorders>
              <w:top w:val="nil"/>
              <w:left w:val="nil"/>
              <w:bottom w:val="nil"/>
              <w:right w:val="nil"/>
            </w:tcBorders>
            <w:noWrap/>
            <w:vAlign w:val="bottom"/>
            <w:hideMark/>
          </w:tcPr>
          <w:p w14:paraId="4A2C52EB" w14:textId="77777777" w:rsidR="00CA6930" w:rsidRPr="00CA6930" w:rsidRDefault="00CA6930" w:rsidP="00CA6930">
            <w:pPr>
              <w:autoSpaceDE/>
              <w:autoSpaceDN/>
              <w:adjustRightInd/>
              <w:rPr>
                <w:sz w:val="28"/>
                <w:szCs w:val="28"/>
                <w:lang w:eastAsia="en-US"/>
              </w:rPr>
            </w:pPr>
          </w:p>
        </w:tc>
        <w:tc>
          <w:tcPr>
            <w:tcW w:w="1618" w:type="dxa"/>
            <w:gridSpan w:val="2"/>
            <w:tcBorders>
              <w:top w:val="nil"/>
              <w:left w:val="nil"/>
              <w:bottom w:val="nil"/>
              <w:right w:val="nil"/>
            </w:tcBorders>
            <w:noWrap/>
            <w:vAlign w:val="bottom"/>
            <w:hideMark/>
          </w:tcPr>
          <w:p w14:paraId="436FCC58"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11,500,000</w:t>
            </w:r>
          </w:p>
        </w:tc>
        <w:tc>
          <w:tcPr>
            <w:tcW w:w="1680" w:type="dxa"/>
            <w:gridSpan w:val="2"/>
            <w:tcBorders>
              <w:top w:val="nil"/>
              <w:left w:val="nil"/>
              <w:bottom w:val="nil"/>
              <w:right w:val="nil"/>
            </w:tcBorders>
            <w:noWrap/>
            <w:vAlign w:val="bottom"/>
            <w:hideMark/>
          </w:tcPr>
          <w:p w14:paraId="0348B1A2" w14:textId="77777777" w:rsidR="00CA6930" w:rsidRPr="00CA6930" w:rsidRDefault="00CA6930" w:rsidP="00CA6930">
            <w:pPr>
              <w:autoSpaceDE/>
              <w:autoSpaceDN/>
              <w:adjustRightInd/>
              <w:rPr>
                <w:sz w:val="28"/>
                <w:szCs w:val="28"/>
                <w:lang w:eastAsia="en-US"/>
              </w:rPr>
            </w:pPr>
          </w:p>
        </w:tc>
      </w:tr>
      <w:tr w:rsidR="00CA6930" w:rsidRPr="00CA6930" w14:paraId="1D2659DD" w14:textId="77777777" w:rsidTr="00CA6930">
        <w:trPr>
          <w:gridAfter w:val="1"/>
          <w:wAfter w:w="1060" w:type="dxa"/>
          <w:trHeight w:val="260"/>
        </w:trPr>
        <w:tc>
          <w:tcPr>
            <w:tcW w:w="3700" w:type="dxa"/>
            <w:tcBorders>
              <w:top w:val="nil"/>
              <w:left w:val="nil"/>
              <w:bottom w:val="nil"/>
              <w:right w:val="nil"/>
            </w:tcBorders>
            <w:noWrap/>
            <w:vAlign w:val="bottom"/>
          </w:tcPr>
          <w:p w14:paraId="57E3F67C" w14:textId="77777777" w:rsidR="00CA6930" w:rsidRPr="00CA6930" w:rsidRDefault="00CA6930" w:rsidP="00CA6930">
            <w:pPr>
              <w:autoSpaceDE/>
              <w:autoSpaceDN/>
              <w:adjustRightInd/>
              <w:rPr>
                <w:sz w:val="28"/>
                <w:szCs w:val="28"/>
                <w:lang w:eastAsia="en-US"/>
              </w:rPr>
            </w:pPr>
          </w:p>
        </w:tc>
        <w:tc>
          <w:tcPr>
            <w:tcW w:w="1740" w:type="dxa"/>
            <w:tcBorders>
              <w:top w:val="nil"/>
              <w:left w:val="nil"/>
              <w:bottom w:val="nil"/>
              <w:right w:val="nil"/>
            </w:tcBorders>
            <w:noWrap/>
            <w:vAlign w:val="bottom"/>
          </w:tcPr>
          <w:p w14:paraId="5F73E6A9" w14:textId="77777777" w:rsidR="00CA6930" w:rsidRPr="00CA6930" w:rsidRDefault="00CA6930" w:rsidP="00CA6930">
            <w:pPr>
              <w:autoSpaceDE/>
              <w:autoSpaceDN/>
              <w:adjustRightInd/>
              <w:rPr>
                <w:sz w:val="28"/>
                <w:szCs w:val="28"/>
                <w:lang w:eastAsia="en-US"/>
              </w:rPr>
            </w:pPr>
          </w:p>
        </w:tc>
        <w:tc>
          <w:tcPr>
            <w:tcW w:w="1383" w:type="dxa"/>
            <w:gridSpan w:val="2"/>
            <w:tcBorders>
              <w:top w:val="nil"/>
              <w:left w:val="nil"/>
              <w:bottom w:val="nil"/>
              <w:right w:val="nil"/>
            </w:tcBorders>
            <w:noWrap/>
            <w:vAlign w:val="bottom"/>
          </w:tcPr>
          <w:p w14:paraId="7C64C5A5" w14:textId="77777777" w:rsidR="00CA6930" w:rsidRPr="00CA6930" w:rsidRDefault="00CA6930" w:rsidP="00CA6930">
            <w:pPr>
              <w:autoSpaceDE/>
              <w:autoSpaceDN/>
              <w:adjustRightInd/>
              <w:rPr>
                <w:rFonts w:ascii="Arial" w:hAnsi="Arial" w:cs="Arial"/>
                <w:sz w:val="28"/>
                <w:szCs w:val="28"/>
                <w:lang w:eastAsia="en-US"/>
              </w:rPr>
            </w:pPr>
          </w:p>
        </w:tc>
        <w:tc>
          <w:tcPr>
            <w:tcW w:w="2021" w:type="dxa"/>
            <w:gridSpan w:val="2"/>
            <w:tcBorders>
              <w:top w:val="nil"/>
              <w:left w:val="nil"/>
              <w:bottom w:val="nil"/>
              <w:right w:val="nil"/>
            </w:tcBorders>
            <w:noWrap/>
            <w:vAlign w:val="bottom"/>
          </w:tcPr>
          <w:p w14:paraId="40FF4C7E" w14:textId="77777777" w:rsidR="00CA6930" w:rsidRPr="00CA6930" w:rsidRDefault="00CA6930" w:rsidP="00CA6930">
            <w:pPr>
              <w:autoSpaceDE/>
              <w:autoSpaceDN/>
              <w:adjustRightInd/>
              <w:rPr>
                <w:rFonts w:ascii="Arial" w:hAnsi="Arial" w:cs="Arial"/>
                <w:sz w:val="28"/>
                <w:szCs w:val="28"/>
                <w:lang w:eastAsia="en-US"/>
              </w:rPr>
            </w:pPr>
          </w:p>
        </w:tc>
      </w:tr>
      <w:tr w:rsidR="00CA6930" w:rsidRPr="00CA6930" w14:paraId="42BDF01B" w14:textId="77777777" w:rsidTr="00CA6930">
        <w:trPr>
          <w:gridAfter w:val="1"/>
          <w:wAfter w:w="1060" w:type="dxa"/>
          <w:trHeight w:val="260"/>
        </w:trPr>
        <w:tc>
          <w:tcPr>
            <w:tcW w:w="3700" w:type="dxa"/>
            <w:tcBorders>
              <w:top w:val="nil"/>
              <w:left w:val="nil"/>
              <w:bottom w:val="nil"/>
              <w:right w:val="nil"/>
            </w:tcBorders>
            <w:noWrap/>
            <w:vAlign w:val="bottom"/>
            <w:hideMark/>
          </w:tcPr>
          <w:p w14:paraId="3F959386" w14:textId="77777777" w:rsidR="00CA6930" w:rsidRPr="00CA6930" w:rsidRDefault="00CA6930" w:rsidP="00CA6930">
            <w:pPr>
              <w:autoSpaceDE/>
              <w:autoSpaceDN/>
              <w:adjustRightInd/>
              <w:rPr>
                <w:sz w:val="28"/>
                <w:szCs w:val="28"/>
                <w:lang w:eastAsia="en-US"/>
              </w:rPr>
            </w:pPr>
          </w:p>
        </w:tc>
        <w:tc>
          <w:tcPr>
            <w:tcW w:w="1740" w:type="dxa"/>
            <w:tcBorders>
              <w:top w:val="nil"/>
              <w:left w:val="nil"/>
              <w:bottom w:val="nil"/>
              <w:right w:val="nil"/>
            </w:tcBorders>
            <w:noWrap/>
            <w:vAlign w:val="bottom"/>
            <w:hideMark/>
          </w:tcPr>
          <w:p w14:paraId="68494029" w14:textId="77777777" w:rsidR="00CA6930" w:rsidRPr="00CA6930" w:rsidRDefault="00CA6930" w:rsidP="00CA6930">
            <w:pPr>
              <w:autoSpaceDE/>
              <w:autoSpaceDN/>
              <w:adjustRightInd/>
              <w:rPr>
                <w:sz w:val="28"/>
                <w:szCs w:val="28"/>
                <w:lang w:eastAsia="en-US"/>
              </w:rPr>
            </w:pPr>
          </w:p>
        </w:tc>
        <w:tc>
          <w:tcPr>
            <w:tcW w:w="1383" w:type="dxa"/>
            <w:gridSpan w:val="2"/>
            <w:tcBorders>
              <w:top w:val="nil"/>
              <w:left w:val="nil"/>
              <w:bottom w:val="nil"/>
              <w:right w:val="nil"/>
            </w:tcBorders>
            <w:noWrap/>
            <w:vAlign w:val="bottom"/>
            <w:hideMark/>
          </w:tcPr>
          <w:p w14:paraId="37158569" w14:textId="3FCC4589"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Percentage</w:t>
            </w:r>
          </w:p>
        </w:tc>
        <w:tc>
          <w:tcPr>
            <w:tcW w:w="2021" w:type="dxa"/>
            <w:gridSpan w:val="2"/>
            <w:tcBorders>
              <w:top w:val="nil"/>
              <w:left w:val="nil"/>
              <w:bottom w:val="nil"/>
              <w:right w:val="nil"/>
            </w:tcBorders>
            <w:noWrap/>
            <w:vAlign w:val="bottom"/>
            <w:hideMark/>
          </w:tcPr>
          <w:p w14:paraId="0F9E30AC" w14:textId="1CF36090" w:rsidR="00CA6930" w:rsidRPr="00CA6930" w:rsidRDefault="00CA6930" w:rsidP="00CA6930">
            <w:pPr>
              <w:autoSpaceDE/>
              <w:autoSpaceDN/>
              <w:adjustRightInd/>
              <w:rPr>
                <w:rFonts w:ascii="Arial" w:hAnsi="Arial" w:cs="Arial"/>
                <w:sz w:val="28"/>
                <w:szCs w:val="28"/>
                <w:lang w:eastAsia="en-US"/>
              </w:rPr>
            </w:pPr>
          </w:p>
        </w:tc>
      </w:tr>
      <w:tr w:rsidR="00CA6930" w:rsidRPr="00CA6930" w14:paraId="5A2A4859" w14:textId="77777777" w:rsidTr="00CA6930">
        <w:trPr>
          <w:trHeight w:val="260"/>
        </w:trPr>
        <w:tc>
          <w:tcPr>
            <w:tcW w:w="3700" w:type="dxa"/>
            <w:tcBorders>
              <w:top w:val="nil"/>
              <w:left w:val="nil"/>
              <w:bottom w:val="nil"/>
              <w:right w:val="nil"/>
            </w:tcBorders>
            <w:noWrap/>
            <w:vAlign w:val="bottom"/>
            <w:hideMark/>
          </w:tcPr>
          <w:p w14:paraId="0BB10970"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Investor Shares</w:t>
            </w:r>
          </w:p>
        </w:tc>
        <w:tc>
          <w:tcPr>
            <w:tcW w:w="1740" w:type="dxa"/>
            <w:tcBorders>
              <w:top w:val="nil"/>
              <w:left w:val="nil"/>
              <w:bottom w:val="nil"/>
              <w:right w:val="nil"/>
            </w:tcBorders>
            <w:noWrap/>
            <w:vAlign w:val="bottom"/>
            <w:hideMark/>
          </w:tcPr>
          <w:p w14:paraId="21C3C80F"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43,500</w:t>
            </w:r>
          </w:p>
        </w:tc>
        <w:tc>
          <w:tcPr>
            <w:tcW w:w="1166" w:type="dxa"/>
            <w:tcBorders>
              <w:top w:val="nil"/>
              <w:left w:val="nil"/>
              <w:bottom w:val="nil"/>
              <w:right w:val="nil"/>
            </w:tcBorders>
            <w:noWrap/>
            <w:vAlign w:val="bottom"/>
            <w:hideMark/>
          </w:tcPr>
          <w:p w14:paraId="6FC746CA"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27.3%</w:t>
            </w:r>
          </w:p>
        </w:tc>
        <w:tc>
          <w:tcPr>
            <w:tcW w:w="1618" w:type="dxa"/>
            <w:gridSpan w:val="2"/>
            <w:tcBorders>
              <w:top w:val="nil"/>
              <w:left w:val="nil"/>
              <w:bottom w:val="nil"/>
              <w:right w:val="nil"/>
            </w:tcBorders>
            <w:noWrap/>
            <w:vAlign w:val="bottom"/>
            <w:hideMark/>
          </w:tcPr>
          <w:p w14:paraId="7FED2DE0"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17,400</w:t>
            </w:r>
          </w:p>
        </w:tc>
        <w:tc>
          <w:tcPr>
            <w:tcW w:w="1680" w:type="dxa"/>
            <w:gridSpan w:val="2"/>
            <w:tcBorders>
              <w:top w:val="nil"/>
              <w:left w:val="nil"/>
              <w:bottom w:val="nil"/>
              <w:right w:val="nil"/>
            </w:tcBorders>
            <w:noWrap/>
            <w:vAlign w:val="bottom"/>
            <w:hideMark/>
          </w:tcPr>
          <w:p w14:paraId="04BCCDA8"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13.0%</w:t>
            </w:r>
          </w:p>
        </w:tc>
      </w:tr>
      <w:tr w:rsidR="00CA6930" w:rsidRPr="00CA6930" w14:paraId="35B5A07D" w14:textId="77777777" w:rsidTr="00CA6930">
        <w:trPr>
          <w:trHeight w:val="260"/>
        </w:trPr>
        <w:tc>
          <w:tcPr>
            <w:tcW w:w="3700" w:type="dxa"/>
            <w:tcBorders>
              <w:top w:val="nil"/>
              <w:left w:val="nil"/>
              <w:bottom w:val="nil"/>
              <w:right w:val="nil"/>
            </w:tcBorders>
            <w:noWrap/>
            <w:vAlign w:val="bottom"/>
            <w:hideMark/>
          </w:tcPr>
          <w:p w14:paraId="23265F84"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Shares Outstanding</w:t>
            </w:r>
          </w:p>
        </w:tc>
        <w:tc>
          <w:tcPr>
            <w:tcW w:w="1740" w:type="dxa"/>
            <w:tcBorders>
              <w:top w:val="nil"/>
              <w:left w:val="nil"/>
              <w:bottom w:val="nil"/>
              <w:right w:val="nil"/>
            </w:tcBorders>
            <w:noWrap/>
            <w:vAlign w:val="bottom"/>
            <w:hideMark/>
          </w:tcPr>
          <w:p w14:paraId="122B14FC" w14:textId="358845D5"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100</w:t>
            </w:r>
            <w:r>
              <w:rPr>
                <w:rFonts w:ascii="Arial" w:hAnsi="Arial" w:cs="Arial"/>
                <w:sz w:val="28"/>
                <w:szCs w:val="28"/>
                <w:lang w:eastAsia="en-US"/>
              </w:rPr>
              <w:t>,</w:t>
            </w:r>
            <w:r w:rsidRPr="00CA6930">
              <w:rPr>
                <w:rFonts w:ascii="Arial" w:hAnsi="Arial" w:cs="Arial"/>
                <w:sz w:val="28"/>
                <w:szCs w:val="28"/>
                <w:lang w:eastAsia="en-US"/>
              </w:rPr>
              <w:t>000</w:t>
            </w:r>
          </w:p>
        </w:tc>
        <w:tc>
          <w:tcPr>
            <w:tcW w:w="1166" w:type="dxa"/>
            <w:tcBorders>
              <w:top w:val="nil"/>
              <w:left w:val="nil"/>
              <w:bottom w:val="nil"/>
              <w:right w:val="nil"/>
            </w:tcBorders>
            <w:noWrap/>
            <w:vAlign w:val="bottom"/>
            <w:hideMark/>
          </w:tcPr>
          <w:p w14:paraId="7A4A0854"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62.7%</w:t>
            </w:r>
          </w:p>
        </w:tc>
        <w:tc>
          <w:tcPr>
            <w:tcW w:w="1618" w:type="dxa"/>
            <w:gridSpan w:val="2"/>
            <w:tcBorders>
              <w:top w:val="nil"/>
              <w:left w:val="nil"/>
              <w:bottom w:val="nil"/>
              <w:right w:val="nil"/>
            </w:tcBorders>
            <w:noWrap/>
            <w:vAlign w:val="bottom"/>
            <w:hideMark/>
          </w:tcPr>
          <w:p w14:paraId="61A982A5"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100,000</w:t>
            </w:r>
          </w:p>
        </w:tc>
        <w:tc>
          <w:tcPr>
            <w:tcW w:w="1680" w:type="dxa"/>
            <w:gridSpan w:val="2"/>
            <w:tcBorders>
              <w:top w:val="nil"/>
              <w:left w:val="nil"/>
              <w:bottom w:val="nil"/>
              <w:right w:val="nil"/>
            </w:tcBorders>
            <w:noWrap/>
            <w:vAlign w:val="bottom"/>
            <w:hideMark/>
          </w:tcPr>
          <w:p w14:paraId="5D91995E"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75.0%</w:t>
            </w:r>
          </w:p>
        </w:tc>
      </w:tr>
      <w:tr w:rsidR="00CA6930" w:rsidRPr="00CA6930" w14:paraId="606F9EAF" w14:textId="77777777" w:rsidTr="00CA6930">
        <w:trPr>
          <w:trHeight w:val="260"/>
        </w:trPr>
        <w:tc>
          <w:tcPr>
            <w:tcW w:w="3700" w:type="dxa"/>
            <w:tcBorders>
              <w:top w:val="nil"/>
              <w:left w:val="nil"/>
              <w:bottom w:val="nil"/>
              <w:right w:val="nil"/>
            </w:tcBorders>
            <w:noWrap/>
            <w:vAlign w:val="bottom"/>
            <w:hideMark/>
          </w:tcPr>
          <w:p w14:paraId="13DAA01F"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Option Pool</w:t>
            </w:r>
          </w:p>
        </w:tc>
        <w:tc>
          <w:tcPr>
            <w:tcW w:w="1740" w:type="dxa"/>
            <w:tcBorders>
              <w:top w:val="nil"/>
              <w:left w:val="nil"/>
              <w:bottom w:val="nil"/>
              <w:right w:val="nil"/>
            </w:tcBorders>
            <w:noWrap/>
            <w:vAlign w:val="bottom"/>
            <w:hideMark/>
          </w:tcPr>
          <w:p w14:paraId="453D8E64" w14:textId="47EBCCED"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10</w:t>
            </w:r>
            <w:r>
              <w:rPr>
                <w:rFonts w:ascii="Arial" w:hAnsi="Arial" w:cs="Arial"/>
                <w:sz w:val="28"/>
                <w:szCs w:val="28"/>
                <w:lang w:eastAsia="en-US"/>
              </w:rPr>
              <w:t>,</w:t>
            </w:r>
            <w:r w:rsidRPr="00CA6930">
              <w:rPr>
                <w:rFonts w:ascii="Arial" w:hAnsi="Arial" w:cs="Arial"/>
                <w:sz w:val="28"/>
                <w:szCs w:val="28"/>
                <w:lang w:eastAsia="en-US"/>
              </w:rPr>
              <w:t>000</w:t>
            </w:r>
          </w:p>
        </w:tc>
        <w:tc>
          <w:tcPr>
            <w:tcW w:w="1166" w:type="dxa"/>
            <w:tcBorders>
              <w:top w:val="nil"/>
              <w:left w:val="nil"/>
              <w:bottom w:val="nil"/>
              <w:right w:val="nil"/>
            </w:tcBorders>
            <w:noWrap/>
            <w:vAlign w:val="bottom"/>
            <w:hideMark/>
          </w:tcPr>
          <w:p w14:paraId="58BC6CAB"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6.3%</w:t>
            </w:r>
          </w:p>
        </w:tc>
        <w:tc>
          <w:tcPr>
            <w:tcW w:w="1618" w:type="dxa"/>
            <w:gridSpan w:val="2"/>
            <w:tcBorders>
              <w:top w:val="nil"/>
              <w:left w:val="nil"/>
              <w:bottom w:val="nil"/>
              <w:right w:val="nil"/>
            </w:tcBorders>
            <w:noWrap/>
            <w:vAlign w:val="bottom"/>
            <w:hideMark/>
          </w:tcPr>
          <w:p w14:paraId="0CCB0DA4"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10,000</w:t>
            </w:r>
          </w:p>
        </w:tc>
        <w:tc>
          <w:tcPr>
            <w:tcW w:w="1680" w:type="dxa"/>
            <w:gridSpan w:val="2"/>
            <w:tcBorders>
              <w:top w:val="nil"/>
              <w:left w:val="nil"/>
              <w:bottom w:val="nil"/>
              <w:right w:val="nil"/>
            </w:tcBorders>
            <w:noWrap/>
            <w:vAlign w:val="bottom"/>
            <w:hideMark/>
          </w:tcPr>
          <w:p w14:paraId="298B4F58"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7.5%</w:t>
            </w:r>
          </w:p>
        </w:tc>
      </w:tr>
      <w:tr w:rsidR="00CA6930" w:rsidRPr="00CA6930" w14:paraId="1CC656B6" w14:textId="77777777" w:rsidTr="00CA6930">
        <w:trPr>
          <w:trHeight w:val="260"/>
        </w:trPr>
        <w:tc>
          <w:tcPr>
            <w:tcW w:w="3700" w:type="dxa"/>
            <w:tcBorders>
              <w:top w:val="nil"/>
              <w:left w:val="nil"/>
              <w:bottom w:val="nil"/>
              <w:right w:val="nil"/>
            </w:tcBorders>
            <w:noWrap/>
            <w:vAlign w:val="bottom"/>
            <w:hideMark/>
          </w:tcPr>
          <w:p w14:paraId="352796DC"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Warrants</w:t>
            </w:r>
          </w:p>
        </w:tc>
        <w:tc>
          <w:tcPr>
            <w:tcW w:w="1740" w:type="dxa"/>
            <w:tcBorders>
              <w:top w:val="nil"/>
              <w:left w:val="nil"/>
              <w:bottom w:val="nil"/>
              <w:right w:val="nil"/>
            </w:tcBorders>
            <w:noWrap/>
            <w:vAlign w:val="bottom"/>
            <w:hideMark/>
          </w:tcPr>
          <w:p w14:paraId="4AD3565B" w14:textId="3C21840D"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6</w:t>
            </w:r>
            <w:r>
              <w:rPr>
                <w:rFonts w:ascii="Arial" w:hAnsi="Arial" w:cs="Arial"/>
                <w:sz w:val="28"/>
                <w:szCs w:val="28"/>
                <w:lang w:eastAsia="en-US"/>
              </w:rPr>
              <w:t>,</w:t>
            </w:r>
            <w:r w:rsidRPr="00CA6930">
              <w:rPr>
                <w:rFonts w:ascii="Arial" w:hAnsi="Arial" w:cs="Arial"/>
                <w:sz w:val="28"/>
                <w:szCs w:val="28"/>
                <w:lang w:eastAsia="en-US"/>
              </w:rPr>
              <w:t>000</w:t>
            </w:r>
          </w:p>
        </w:tc>
        <w:tc>
          <w:tcPr>
            <w:tcW w:w="1166" w:type="dxa"/>
            <w:tcBorders>
              <w:top w:val="nil"/>
              <w:left w:val="nil"/>
              <w:bottom w:val="nil"/>
              <w:right w:val="nil"/>
            </w:tcBorders>
            <w:noWrap/>
            <w:vAlign w:val="bottom"/>
            <w:hideMark/>
          </w:tcPr>
          <w:p w14:paraId="51528A5B"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3.8%</w:t>
            </w:r>
          </w:p>
        </w:tc>
        <w:tc>
          <w:tcPr>
            <w:tcW w:w="1618" w:type="dxa"/>
            <w:gridSpan w:val="2"/>
            <w:tcBorders>
              <w:top w:val="nil"/>
              <w:left w:val="nil"/>
              <w:bottom w:val="nil"/>
              <w:right w:val="nil"/>
            </w:tcBorders>
            <w:noWrap/>
            <w:vAlign w:val="bottom"/>
            <w:hideMark/>
          </w:tcPr>
          <w:p w14:paraId="2519EA5F"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6,000</w:t>
            </w:r>
          </w:p>
        </w:tc>
        <w:tc>
          <w:tcPr>
            <w:tcW w:w="1680" w:type="dxa"/>
            <w:gridSpan w:val="2"/>
            <w:tcBorders>
              <w:top w:val="nil"/>
              <w:left w:val="nil"/>
              <w:bottom w:val="nil"/>
              <w:right w:val="nil"/>
            </w:tcBorders>
            <w:noWrap/>
            <w:vAlign w:val="bottom"/>
            <w:hideMark/>
          </w:tcPr>
          <w:p w14:paraId="4EB54FE1"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4.5%</w:t>
            </w:r>
          </w:p>
        </w:tc>
      </w:tr>
      <w:tr w:rsidR="00CA6930" w:rsidRPr="00CA6930" w14:paraId="29DDC79C" w14:textId="77777777" w:rsidTr="00CA6930">
        <w:trPr>
          <w:trHeight w:val="260"/>
        </w:trPr>
        <w:tc>
          <w:tcPr>
            <w:tcW w:w="3700" w:type="dxa"/>
            <w:tcBorders>
              <w:top w:val="nil"/>
              <w:left w:val="nil"/>
              <w:bottom w:val="nil"/>
              <w:right w:val="nil"/>
            </w:tcBorders>
            <w:noWrap/>
            <w:vAlign w:val="bottom"/>
            <w:hideMark/>
          </w:tcPr>
          <w:p w14:paraId="7FF95423" w14:textId="77777777" w:rsidR="00CA6930" w:rsidRPr="00CA6930" w:rsidRDefault="00CA6930" w:rsidP="00CA6930">
            <w:pPr>
              <w:autoSpaceDE/>
              <w:autoSpaceDN/>
              <w:adjustRightInd/>
              <w:rPr>
                <w:rFonts w:ascii="Arial" w:hAnsi="Arial" w:cs="Arial"/>
                <w:sz w:val="28"/>
                <w:szCs w:val="28"/>
                <w:lang w:eastAsia="en-US"/>
              </w:rPr>
            </w:pPr>
            <w:r w:rsidRPr="00CA6930">
              <w:rPr>
                <w:rFonts w:ascii="Arial" w:hAnsi="Arial" w:cs="Arial"/>
                <w:sz w:val="28"/>
                <w:szCs w:val="28"/>
                <w:lang w:eastAsia="en-US"/>
              </w:rPr>
              <w:t>Total</w:t>
            </w:r>
          </w:p>
        </w:tc>
        <w:tc>
          <w:tcPr>
            <w:tcW w:w="1740" w:type="dxa"/>
            <w:tcBorders>
              <w:top w:val="nil"/>
              <w:left w:val="nil"/>
              <w:bottom w:val="nil"/>
              <w:right w:val="nil"/>
            </w:tcBorders>
            <w:noWrap/>
            <w:vAlign w:val="bottom"/>
            <w:hideMark/>
          </w:tcPr>
          <w:p w14:paraId="1B1DC29F"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159,500</w:t>
            </w:r>
          </w:p>
        </w:tc>
        <w:tc>
          <w:tcPr>
            <w:tcW w:w="1166" w:type="dxa"/>
            <w:tcBorders>
              <w:top w:val="nil"/>
              <w:left w:val="nil"/>
              <w:bottom w:val="nil"/>
              <w:right w:val="nil"/>
            </w:tcBorders>
            <w:noWrap/>
            <w:vAlign w:val="bottom"/>
            <w:hideMark/>
          </w:tcPr>
          <w:p w14:paraId="64584EB1"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100.0%</w:t>
            </w:r>
          </w:p>
        </w:tc>
        <w:tc>
          <w:tcPr>
            <w:tcW w:w="1618" w:type="dxa"/>
            <w:gridSpan w:val="2"/>
            <w:tcBorders>
              <w:top w:val="nil"/>
              <w:left w:val="nil"/>
              <w:bottom w:val="nil"/>
              <w:right w:val="nil"/>
            </w:tcBorders>
            <w:noWrap/>
            <w:vAlign w:val="bottom"/>
            <w:hideMark/>
          </w:tcPr>
          <w:p w14:paraId="00B5F049"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133,400</w:t>
            </w:r>
          </w:p>
        </w:tc>
        <w:tc>
          <w:tcPr>
            <w:tcW w:w="1680" w:type="dxa"/>
            <w:gridSpan w:val="2"/>
            <w:tcBorders>
              <w:top w:val="nil"/>
              <w:left w:val="nil"/>
              <w:bottom w:val="nil"/>
              <w:right w:val="nil"/>
            </w:tcBorders>
            <w:noWrap/>
            <w:vAlign w:val="bottom"/>
            <w:hideMark/>
          </w:tcPr>
          <w:p w14:paraId="6444437C" w14:textId="77777777" w:rsidR="00CA6930" w:rsidRPr="00CA6930" w:rsidRDefault="00CA6930" w:rsidP="00CA6930">
            <w:pPr>
              <w:autoSpaceDE/>
              <w:autoSpaceDN/>
              <w:adjustRightInd/>
              <w:jc w:val="right"/>
              <w:rPr>
                <w:rFonts w:ascii="Arial" w:hAnsi="Arial" w:cs="Arial"/>
                <w:sz w:val="28"/>
                <w:szCs w:val="28"/>
                <w:lang w:eastAsia="en-US"/>
              </w:rPr>
            </w:pPr>
            <w:r w:rsidRPr="00CA6930">
              <w:rPr>
                <w:rFonts w:ascii="Arial" w:hAnsi="Arial" w:cs="Arial"/>
                <w:sz w:val="28"/>
                <w:szCs w:val="28"/>
                <w:lang w:eastAsia="en-US"/>
              </w:rPr>
              <w:t>100.0%</w:t>
            </w:r>
          </w:p>
        </w:tc>
      </w:tr>
    </w:tbl>
    <w:p w14:paraId="3BBDC8B5" w14:textId="77777777" w:rsidR="00647E15" w:rsidRDefault="00647E15" w:rsidP="00A418E0">
      <w:pPr>
        <w:rPr>
          <w:rFonts w:ascii="Arial" w:eastAsia="Arial" w:hAnsi="Arial" w:cs="Arial"/>
          <w:b/>
          <w:sz w:val="20"/>
          <w:szCs w:val="20"/>
        </w:rPr>
      </w:pPr>
    </w:p>
    <w:p w14:paraId="09542BB9" w14:textId="77777777" w:rsidR="00A418E0" w:rsidRDefault="00A418E0" w:rsidP="00A418E0">
      <w:pPr>
        <w:rPr>
          <w:rFonts w:ascii="Arial" w:eastAsia="Arial" w:hAnsi="Arial" w:cs="Arial"/>
          <w:sz w:val="20"/>
          <w:szCs w:val="20"/>
        </w:rPr>
      </w:pPr>
    </w:p>
    <w:p w14:paraId="3F2658AC" w14:textId="35A55D2D" w:rsidR="00A418E0" w:rsidRDefault="00A418E0" w:rsidP="00A418E0">
      <w:pPr>
        <w:rPr>
          <w:rFonts w:ascii="Arial" w:eastAsia="Arial" w:hAnsi="Arial" w:cs="Arial"/>
          <w:sz w:val="56"/>
          <w:szCs w:val="56"/>
        </w:rPr>
      </w:pPr>
    </w:p>
    <w:p w14:paraId="7516330A" w14:textId="77777777" w:rsidR="00CA6930" w:rsidRDefault="00CA6930">
      <w:pPr>
        <w:autoSpaceDE/>
        <w:autoSpaceDN/>
        <w:adjustRightInd/>
        <w:rPr>
          <w:rFonts w:ascii="Arial" w:eastAsia="Arial" w:hAnsi="Arial" w:cs="Arial"/>
          <w:sz w:val="56"/>
          <w:szCs w:val="56"/>
        </w:rPr>
      </w:pPr>
      <w:r>
        <w:rPr>
          <w:rFonts w:ascii="Arial" w:eastAsia="Arial" w:hAnsi="Arial" w:cs="Arial"/>
          <w:sz w:val="56"/>
          <w:szCs w:val="56"/>
        </w:rPr>
        <w:br w:type="page"/>
      </w:r>
    </w:p>
    <w:tbl>
      <w:tblPr>
        <w:tblW w:w="5440" w:type="dxa"/>
        <w:tblCellMar>
          <w:left w:w="0" w:type="dxa"/>
          <w:right w:w="0" w:type="dxa"/>
        </w:tblCellMar>
        <w:tblLook w:val="04A0" w:firstRow="1" w:lastRow="0" w:firstColumn="1" w:lastColumn="0" w:noHBand="0" w:noVBand="1"/>
      </w:tblPr>
      <w:tblGrid>
        <w:gridCol w:w="3700"/>
        <w:gridCol w:w="1740"/>
      </w:tblGrid>
      <w:tr w:rsidR="00CA6930" w14:paraId="7D3D7F92" w14:textId="77777777" w:rsidTr="00CA6930">
        <w:trPr>
          <w:trHeight w:val="260"/>
        </w:trPr>
        <w:tc>
          <w:tcPr>
            <w:tcW w:w="3700" w:type="dxa"/>
            <w:tcBorders>
              <w:top w:val="nil"/>
              <w:left w:val="nil"/>
              <w:bottom w:val="nil"/>
              <w:right w:val="nil"/>
            </w:tcBorders>
            <w:noWrap/>
            <w:tcMar>
              <w:top w:w="15" w:type="dxa"/>
              <w:left w:w="15" w:type="dxa"/>
              <w:bottom w:w="0" w:type="dxa"/>
              <w:right w:w="15" w:type="dxa"/>
            </w:tcMar>
            <w:vAlign w:val="bottom"/>
            <w:hideMark/>
          </w:tcPr>
          <w:p w14:paraId="45BDEDC2" w14:textId="77777777" w:rsidR="00CA6930" w:rsidRDefault="00CA6930">
            <w:pPr>
              <w:autoSpaceDE/>
              <w:autoSpaceDN/>
              <w:adjustRightInd/>
              <w:rPr>
                <w:rFonts w:ascii="Arial" w:hAnsi="Arial" w:cs="Arial"/>
                <w:sz w:val="20"/>
                <w:szCs w:val="20"/>
                <w:lang w:eastAsia="en-US"/>
              </w:rPr>
            </w:pPr>
            <w:r>
              <w:rPr>
                <w:rFonts w:ascii="Arial" w:hAnsi="Arial" w:cs="Arial"/>
                <w:sz w:val="20"/>
                <w:szCs w:val="20"/>
              </w:rPr>
              <w:lastRenderedPageBreak/>
              <w:t>Company</w:t>
            </w:r>
          </w:p>
        </w:tc>
        <w:tc>
          <w:tcPr>
            <w:tcW w:w="1740" w:type="dxa"/>
            <w:tcBorders>
              <w:top w:val="nil"/>
              <w:left w:val="nil"/>
              <w:bottom w:val="nil"/>
              <w:right w:val="nil"/>
            </w:tcBorders>
            <w:noWrap/>
            <w:tcMar>
              <w:top w:w="15" w:type="dxa"/>
              <w:left w:w="15" w:type="dxa"/>
              <w:bottom w:w="0" w:type="dxa"/>
              <w:right w:w="15" w:type="dxa"/>
            </w:tcMar>
            <w:vAlign w:val="bottom"/>
            <w:hideMark/>
          </w:tcPr>
          <w:p w14:paraId="2256F68F" w14:textId="77777777" w:rsidR="00CA6930" w:rsidRDefault="00CA6930">
            <w:pPr>
              <w:rPr>
                <w:rFonts w:ascii="Arial" w:hAnsi="Arial" w:cs="Arial"/>
                <w:sz w:val="20"/>
                <w:szCs w:val="20"/>
              </w:rPr>
            </w:pPr>
          </w:p>
        </w:tc>
      </w:tr>
      <w:tr w:rsidR="00CA6930" w14:paraId="7D5D8122"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3B540A03" w14:textId="77777777" w:rsidR="00CA6930" w:rsidRDefault="00CA6930">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210E63D" w14:textId="77777777" w:rsidR="00CA6930" w:rsidRDefault="00CA6930">
            <w:pPr>
              <w:rPr>
                <w:sz w:val="20"/>
                <w:szCs w:val="20"/>
              </w:rPr>
            </w:pPr>
          </w:p>
        </w:tc>
      </w:tr>
      <w:tr w:rsidR="00CA6930" w14:paraId="642A6A11"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072FE06E" w14:textId="77777777" w:rsidR="00CA6930" w:rsidRDefault="00CA6930">
            <w:pPr>
              <w:rPr>
                <w:rFonts w:ascii="Arial" w:hAnsi="Arial" w:cs="Arial"/>
                <w:sz w:val="20"/>
                <w:szCs w:val="20"/>
              </w:rPr>
            </w:pPr>
            <w:r>
              <w:rPr>
                <w:rFonts w:ascii="Arial" w:hAnsi="Arial" w:cs="Arial"/>
                <w:sz w:val="20"/>
                <w:szCs w:val="20"/>
              </w:rPr>
              <w:t>Year</w:t>
            </w:r>
          </w:p>
        </w:tc>
        <w:tc>
          <w:tcPr>
            <w:tcW w:w="0" w:type="auto"/>
            <w:tcBorders>
              <w:top w:val="nil"/>
              <w:left w:val="nil"/>
              <w:bottom w:val="nil"/>
              <w:right w:val="nil"/>
            </w:tcBorders>
            <w:noWrap/>
            <w:tcMar>
              <w:top w:w="15" w:type="dxa"/>
              <w:left w:w="15" w:type="dxa"/>
              <w:bottom w:w="0" w:type="dxa"/>
              <w:right w:w="15" w:type="dxa"/>
            </w:tcMar>
            <w:vAlign w:val="bottom"/>
            <w:hideMark/>
          </w:tcPr>
          <w:p w14:paraId="52C17ECD" w14:textId="720B4BD0" w:rsidR="00CA6930" w:rsidRDefault="00CA6930">
            <w:pPr>
              <w:jc w:val="right"/>
              <w:rPr>
                <w:rFonts w:ascii="Arial" w:hAnsi="Arial" w:cs="Arial"/>
                <w:sz w:val="20"/>
                <w:szCs w:val="20"/>
              </w:rPr>
            </w:pPr>
            <w:r>
              <w:rPr>
                <w:rFonts w:ascii="Arial" w:hAnsi="Arial" w:cs="Arial"/>
                <w:sz w:val="20"/>
                <w:szCs w:val="20"/>
              </w:rPr>
              <w:t>20</w:t>
            </w:r>
            <w:r w:rsidR="0023096F">
              <w:rPr>
                <w:rFonts w:ascii="Arial" w:hAnsi="Arial" w:cs="Arial"/>
                <w:sz w:val="20"/>
                <w:szCs w:val="20"/>
              </w:rPr>
              <w:t>30</w:t>
            </w:r>
          </w:p>
        </w:tc>
      </w:tr>
      <w:tr w:rsidR="00CA6930" w14:paraId="7795B537"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4A340815" w14:textId="6E427D5B" w:rsidR="00CA6930" w:rsidRDefault="00CA6930">
            <w:pPr>
              <w:rPr>
                <w:rFonts w:ascii="Arial" w:hAnsi="Arial" w:cs="Arial"/>
                <w:sz w:val="20"/>
                <w:szCs w:val="20"/>
              </w:rPr>
            </w:pPr>
            <w:r>
              <w:rPr>
                <w:rFonts w:ascii="Arial" w:hAnsi="Arial" w:cs="Arial"/>
                <w:sz w:val="20"/>
                <w:szCs w:val="20"/>
              </w:rPr>
              <w:t>Projected Pre-Tax Profits</w:t>
            </w:r>
          </w:p>
        </w:tc>
        <w:tc>
          <w:tcPr>
            <w:tcW w:w="0" w:type="auto"/>
            <w:tcBorders>
              <w:top w:val="nil"/>
              <w:left w:val="nil"/>
              <w:bottom w:val="nil"/>
              <w:right w:val="nil"/>
            </w:tcBorders>
            <w:noWrap/>
            <w:tcMar>
              <w:top w:w="15" w:type="dxa"/>
              <w:left w:w="15" w:type="dxa"/>
              <w:bottom w:w="0" w:type="dxa"/>
              <w:right w:w="15" w:type="dxa"/>
            </w:tcMar>
            <w:vAlign w:val="bottom"/>
            <w:hideMark/>
          </w:tcPr>
          <w:p w14:paraId="4926FBC6" w14:textId="1D1A6C27" w:rsidR="00CA6930" w:rsidRDefault="00CA6930">
            <w:pPr>
              <w:jc w:val="right"/>
              <w:rPr>
                <w:rFonts w:ascii="Arial" w:hAnsi="Arial" w:cs="Arial"/>
                <w:sz w:val="20"/>
                <w:szCs w:val="20"/>
              </w:rPr>
            </w:pPr>
            <w:r>
              <w:rPr>
                <w:rFonts w:ascii="Arial" w:hAnsi="Arial" w:cs="Arial"/>
                <w:sz w:val="20"/>
                <w:szCs w:val="20"/>
              </w:rPr>
              <w:t>1</w:t>
            </w:r>
            <w:r w:rsidR="0023096F">
              <w:rPr>
                <w:rFonts w:ascii="Arial" w:hAnsi="Arial" w:cs="Arial"/>
                <w:sz w:val="20"/>
                <w:szCs w:val="20"/>
              </w:rPr>
              <w:t>0,000,000</w:t>
            </w:r>
          </w:p>
        </w:tc>
      </w:tr>
      <w:tr w:rsidR="00CA6930" w14:paraId="6F7C8CA9"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4555FA76" w14:textId="77777777" w:rsidR="00CA6930" w:rsidRDefault="00CA6930">
            <w:pPr>
              <w:rPr>
                <w:rFonts w:ascii="Arial" w:hAnsi="Arial" w:cs="Arial"/>
                <w:sz w:val="20"/>
                <w:szCs w:val="20"/>
              </w:rPr>
            </w:pPr>
            <w:r>
              <w:rPr>
                <w:rFonts w:ascii="Arial" w:hAnsi="Arial" w:cs="Arial"/>
                <w:sz w:val="20"/>
                <w:szCs w:val="20"/>
              </w:rPr>
              <w:t>Tax Rate</w:t>
            </w:r>
          </w:p>
        </w:tc>
        <w:tc>
          <w:tcPr>
            <w:tcW w:w="0" w:type="auto"/>
            <w:tcBorders>
              <w:top w:val="nil"/>
              <w:left w:val="nil"/>
              <w:bottom w:val="nil"/>
              <w:right w:val="nil"/>
            </w:tcBorders>
            <w:noWrap/>
            <w:tcMar>
              <w:top w:w="15" w:type="dxa"/>
              <w:left w:w="15" w:type="dxa"/>
              <w:bottom w:w="0" w:type="dxa"/>
              <w:right w:w="15" w:type="dxa"/>
            </w:tcMar>
            <w:vAlign w:val="bottom"/>
            <w:hideMark/>
          </w:tcPr>
          <w:p w14:paraId="0E7667E6" w14:textId="31CBDAE5" w:rsidR="00CA6930" w:rsidRDefault="0023096F">
            <w:pPr>
              <w:jc w:val="right"/>
              <w:rPr>
                <w:rFonts w:ascii="Arial" w:hAnsi="Arial" w:cs="Arial"/>
                <w:sz w:val="20"/>
                <w:szCs w:val="20"/>
              </w:rPr>
            </w:pPr>
            <w:r>
              <w:rPr>
                <w:rFonts w:ascii="Arial" w:hAnsi="Arial" w:cs="Arial"/>
                <w:sz w:val="20"/>
                <w:szCs w:val="20"/>
              </w:rPr>
              <w:t>35</w:t>
            </w:r>
            <w:r w:rsidR="00CA6930">
              <w:rPr>
                <w:rFonts w:ascii="Arial" w:hAnsi="Arial" w:cs="Arial"/>
                <w:sz w:val="20"/>
                <w:szCs w:val="20"/>
              </w:rPr>
              <w:t>%</w:t>
            </w:r>
          </w:p>
        </w:tc>
      </w:tr>
      <w:tr w:rsidR="00CA6930" w14:paraId="452A2048"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182D32BF" w14:textId="77777777" w:rsidR="00CA6930" w:rsidRDefault="00CA6930">
            <w:pPr>
              <w:rPr>
                <w:rFonts w:ascii="Arial" w:hAnsi="Arial" w:cs="Arial"/>
                <w:sz w:val="20"/>
                <w:szCs w:val="20"/>
              </w:rPr>
            </w:pPr>
            <w:r>
              <w:rPr>
                <w:rFonts w:ascii="Arial" w:hAnsi="Arial" w:cs="Arial"/>
                <w:sz w:val="20"/>
                <w:szCs w:val="20"/>
              </w:rPr>
              <w:t>Projected After Tax Profits</w:t>
            </w:r>
          </w:p>
        </w:tc>
        <w:tc>
          <w:tcPr>
            <w:tcW w:w="0" w:type="auto"/>
            <w:tcBorders>
              <w:top w:val="nil"/>
              <w:left w:val="nil"/>
              <w:bottom w:val="nil"/>
              <w:right w:val="nil"/>
            </w:tcBorders>
            <w:noWrap/>
            <w:tcMar>
              <w:top w:w="15" w:type="dxa"/>
              <w:left w:w="15" w:type="dxa"/>
              <w:bottom w:w="0" w:type="dxa"/>
              <w:right w:w="15" w:type="dxa"/>
            </w:tcMar>
            <w:vAlign w:val="bottom"/>
            <w:hideMark/>
          </w:tcPr>
          <w:p w14:paraId="19008CE6" w14:textId="371E91D3" w:rsidR="00CA6930" w:rsidRDefault="00CA6930">
            <w:pPr>
              <w:rPr>
                <w:rFonts w:ascii="Arial" w:hAnsi="Arial" w:cs="Arial"/>
                <w:sz w:val="20"/>
                <w:szCs w:val="20"/>
              </w:rPr>
            </w:pPr>
            <w:r>
              <w:rPr>
                <w:rFonts w:ascii="Arial" w:hAnsi="Arial" w:cs="Arial"/>
                <w:sz w:val="20"/>
                <w:szCs w:val="20"/>
              </w:rPr>
              <w:t xml:space="preserve">          </w:t>
            </w:r>
            <w:r w:rsidR="0023096F">
              <w:rPr>
                <w:rFonts w:ascii="Arial" w:hAnsi="Arial" w:cs="Arial"/>
                <w:sz w:val="20"/>
                <w:szCs w:val="20"/>
              </w:rPr>
              <w:t xml:space="preserve">    </w:t>
            </w:r>
            <w:r>
              <w:rPr>
                <w:rFonts w:ascii="Arial" w:hAnsi="Arial" w:cs="Arial"/>
                <w:sz w:val="20"/>
                <w:szCs w:val="20"/>
              </w:rPr>
              <w:t>6,</w:t>
            </w:r>
            <w:r w:rsidR="0023096F">
              <w:rPr>
                <w:rFonts w:ascii="Arial" w:hAnsi="Arial" w:cs="Arial"/>
                <w:sz w:val="20"/>
                <w:szCs w:val="20"/>
              </w:rPr>
              <w:t>500,000</w:t>
            </w:r>
            <w:r>
              <w:rPr>
                <w:rFonts w:ascii="Arial" w:hAnsi="Arial" w:cs="Arial"/>
                <w:sz w:val="20"/>
                <w:szCs w:val="20"/>
              </w:rPr>
              <w:t xml:space="preserve"> </w:t>
            </w:r>
          </w:p>
        </w:tc>
      </w:tr>
      <w:tr w:rsidR="00CA6930" w14:paraId="088B3318"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7C2543FE" w14:textId="77777777" w:rsidR="00CA6930" w:rsidRDefault="00CA6930">
            <w:pPr>
              <w:rPr>
                <w:rFonts w:ascii="Arial" w:hAnsi="Arial" w:cs="Arial"/>
                <w:sz w:val="20"/>
                <w:szCs w:val="20"/>
              </w:rPr>
            </w:pPr>
            <w:r>
              <w:rPr>
                <w:rFonts w:ascii="Arial" w:hAnsi="Arial" w:cs="Arial"/>
                <w:sz w:val="20"/>
                <w:szCs w:val="20"/>
              </w:rPr>
              <w:t>Market P/E Ratio</w:t>
            </w:r>
          </w:p>
        </w:tc>
        <w:tc>
          <w:tcPr>
            <w:tcW w:w="0" w:type="auto"/>
            <w:tcBorders>
              <w:top w:val="nil"/>
              <w:left w:val="nil"/>
              <w:bottom w:val="nil"/>
              <w:right w:val="nil"/>
            </w:tcBorders>
            <w:noWrap/>
            <w:tcMar>
              <w:top w:w="15" w:type="dxa"/>
              <w:left w:w="15" w:type="dxa"/>
              <w:bottom w:w="0" w:type="dxa"/>
              <w:right w:w="15" w:type="dxa"/>
            </w:tcMar>
            <w:vAlign w:val="bottom"/>
            <w:hideMark/>
          </w:tcPr>
          <w:p w14:paraId="3CAE5F4F" w14:textId="77777777" w:rsidR="00CA6930" w:rsidRDefault="00CA6930">
            <w:pPr>
              <w:jc w:val="right"/>
              <w:rPr>
                <w:rFonts w:ascii="Arial" w:hAnsi="Arial" w:cs="Arial"/>
                <w:sz w:val="20"/>
                <w:szCs w:val="20"/>
              </w:rPr>
            </w:pPr>
            <w:r>
              <w:rPr>
                <w:rFonts w:ascii="Arial" w:hAnsi="Arial" w:cs="Arial"/>
                <w:sz w:val="20"/>
                <w:szCs w:val="20"/>
              </w:rPr>
              <w:t>20</w:t>
            </w:r>
          </w:p>
        </w:tc>
      </w:tr>
      <w:tr w:rsidR="00CA6930" w14:paraId="201D2C15"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5F33C794" w14:textId="77777777" w:rsidR="00CA6930" w:rsidRDefault="00CA6930">
            <w:pPr>
              <w:rPr>
                <w:rFonts w:ascii="Arial" w:hAnsi="Arial" w:cs="Arial"/>
                <w:sz w:val="20"/>
                <w:szCs w:val="20"/>
              </w:rPr>
            </w:pPr>
            <w:r>
              <w:rPr>
                <w:rFonts w:ascii="Arial" w:hAnsi="Arial" w:cs="Arial"/>
                <w:sz w:val="20"/>
                <w:szCs w:val="20"/>
              </w:rPr>
              <w:t>Projected Valuation</w:t>
            </w:r>
          </w:p>
        </w:tc>
        <w:tc>
          <w:tcPr>
            <w:tcW w:w="0" w:type="auto"/>
            <w:tcBorders>
              <w:top w:val="nil"/>
              <w:left w:val="nil"/>
              <w:bottom w:val="nil"/>
              <w:right w:val="nil"/>
            </w:tcBorders>
            <w:noWrap/>
            <w:tcMar>
              <w:top w:w="15" w:type="dxa"/>
              <w:left w:w="15" w:type="dxa"/>
              <w:bottom w:w="0" w:type="dxa"/>
              <w:right w:w="15" w:type="dxa"/>
            </w:tcMar>
            <w:vAlign w:val="bottom"/>
            <w:hideMark/>
          </w:tcPr>
          <w:p w14:paraId="607C6AE1" w14:textId="2718AD5B" w:rsidR="00CA6930" w:rsidRDefault="00CA6930">
            <w:pPr>
              <w:jc w:val="right"/>
              <w:rPr>
                <w:rFonts w:ascii="Arial" w:hAnsi="Arial" w:cs="Arial"/>
                <w:sz w:val="20"/>
                <w:szCs w:val="20"/>
              </w:rPr>
            </w:pPr>
            <w:r>
              <w:rPr>
                <w:rFonts w:ascii="Arial" w:hAnsi="Arial" w:cs="Arial"/>
                <w:sz w:val="20"/>
                <w:szCs w:val="20"/>
              </w:rPr>
              <w:t>1</w:t>
            </w:r>
            <w:r w:rsidR="0023096F">
              <w:rPr>
                <w:rFonts w:ascii="Arial" w:hAnsi="Arial" w:cs="Arial"/>
                <w:sz w:val="20"/>
                <w:szCs w:val="20"/>
              </w:rPr>
              <w:t>30,000,000</w:t>
            </w:r>
          </w:p>
        </w:tc>
      </w:tr>
      <w:tr w:rsidR="00CA6930" w14:paraId="7780AFCB"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1A30DC27" w14:textId="77777777" w:rsidR="00CA6930" w:rsidRDefault="00CA6930">
            <w:pPr>
              <w:jc w:val="right"/>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5F7A7252" w14:textId="77777777" w:rsidR="00CA6930" w:rsidRDefault="00CA6930">
            <w:pPr>
              <w:rPr>
                <w:sz w:val="20"/>
                <w:szCs w:val="20"/>
              </w:rPr>
            </w:pPr>
          </w:p>
        </w:tc>
      </w:tr>
      <w:tr w:rsidR="00CA6930" w14:paraId="41F7A435"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1EE4F031" w14:textId="77777777" w:rsidR="00CA6930" w:rsidRDefault="00CA6930">
            <w:pPr>
              <w:rPr>
                <w:rFonts w:ascii="Arial" w:hAnsi="Arial" w:cs="Arial"/>
                <w:sz w:val="20"/>
                <w:szCs w:val="20"/>
              </w:rPr>
            </w:pPr>
            <w:r>
              <w:rPr>
                <w:rFonts w:ascii="Arial" w:hAnsi="Arial" w:cs="Arial"/>
                <w:sz w:val="20"/>
                <w:szCs w:val="20"/>
              </w:rPr>
              <w:t>Current Pre-Money Valuation</w:t>
            </w:r>
          </w:p>
        </w:tc>
        <w:tc>
          <w:tcPr>
            <w:tcW w:w="0" w:type="auto"/>
            <w:tcBorders>
              <w:top w:val="nil"/>
              <w:left w:val="nil"/>
              <w:bottom w:val="nil"/>
              <w:right w:val="nil"/>
            </w:tcBorders>
            <w:noWrap/>
            <w:tcMar>
              <w:top w:w="15" w:type="dxa"/>
              <w:left w:w="15" w:type="dxa"/>
              <w:bottom w:w="0" w:type="dxa"/>
              <w:right w:w="15" w:type="dxa"/>
            </w:tcMar>
            <w:vAlign w:val="bottom"/>
            <w:hideMark/>
          </w:tcPr>
          <w:p w14:paraId="4FDF3B6D" w14:textId="77777777" w:rsidR="00CA6930" w:rsidRDefault="00CA6930">
            <w:pPr>
              <w:jc w:val="right"/>
              <w:rPr>
                <w:rFonts w:ascii="Arial" w:hAnsi="Arial" w:cs="Arial"/>
                <w:sz w:val="20"/>
                <w:szCs w:val="20"/>
              </w:rPr>
            </w:pPr>
            <w:r>
              <w:rPr>
                <w:rFonts w:ascii="Arial" w:hAnsi="Arial" w:cs="Arial"/>
                <w:sz w:val="20"/>
                <w:szCs w:val="20"/>
              </w:rPr>
              <w:t>4,000,000</w:t>
            </w:r>
          </w:p>
        </w:tc>
      </w:tr>
      <w:tr w:rsidR="00CA6930" w14:paraId="680EF366"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54635666" w14:textId="77777777" w:rsidR="00CA6930" w:rsidRDefault="00CA6930">
            <w:pPr>
              <w:rPr>
                <w:rFonts w:ascii="Arial" w:hAnsi="Arial" w:cs="Arial"/>
                <w:sz w:val="20"/>
                <w:szCs w:val="20"/>
              </w:rPr>
            </w:pPr>
            <w:r>
              <w:rPr>
                <w:rFonts w:ascii="Arial" w:hAnsi="Arial" w:cs="Arial"/>
                <w:sz w:val="20"/>
                <w:szCs w:val="20"/>
              </w:rPr>
              <w:t>Investment</w:t>
            </w:r>
          </w:p>
        </w:tc>
        <w:tc>
          <w:tcPr>
            <w:tcW w:w="0" w:type="auto"/>
            <w:tcBorders>
              <w:top w:val="nil"/>
              <w:left w:val="nil"/>
              <w:bottom w:val="nil"/>
              <w:right w:val="nil"/>
            </w:tcBorders>
            <w:noWrap/>
            <w:tcMar>
              <w:top w:w="15" w:type="dxa"/>
              <w:left w:w="15" w:type="dxa"/>
              <w:bottom w:w="0" w:type="dxa"/>
              <w:right w:w="15" w:type="dxa"/>
            </w:tcMar>
            <w:vAlign w:val="bottom"/>
            <w:hideMark/>
          </w:tcPr>
          <w:p w14:paraId="01F67C66" w14:textId="77777777" w:rsidR="00CA6930" w:rsidRDefault="00CA6930">
            <w:pPr>
              <w:jc w:val="right"/>
              <w:rPr>
                <w:rFonts w:ascii="Arial" w:hAnsi="Arial" w:cs="Arial"/>
                <w:sz w:val="20"/>
                <w:szCs w:val="20"/>
              </w:rPr>
            </w:pPr>
            <w:r>
              <w:rPr>
                <w:rFonts w:ascii="Arial" w:hAnsi="Arial" w:cs="Arial"/>
                <w:sz w:val="20"/>
                <w:szCs w:val="20"/>
              </w:rPr>
              <w:t>1,500,000</w:t>
            </w:r>
          </w:p>
        </w:tc>
      </w:tr>
      <w:tr w:rsidR="00CA6930" w14:paraId="669CC55F"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209C7F8D" w14:textId="77777777" w:rsidR="00CA6930" w:rsidRDefault="00CA6930">
            <w:pPr>
              <w:rPr>
                <w:rFonts w:ascii="Arial" w:hAnsi="Arial" w:cs="Arial"/>
                <w:sz w:val="20"/>
                <w:szCs w:val="20"/>
              </w:rPr>
            </w:pPr>
            <w:r>
              <w:rPr>
                <w:rFonts w:ascii="Arial" w:hAnsi="Arial" w:cs="Arial"/>
                <w:sz w:val="20"/>
                <w:szCs w:val="20"/>
              </w:rPr>
              <w:t>Percentage Owned by Investor</w:t>
            </w:r>
          </w:p>
        </w:tc>
        <w:tc>
          <w:tcPr>
            <w:tcW w:w="0" w:type="auto"/>
            <w:tcBorders>
              <w:top w:val="nil"/>
              <w:left w:val="nil"/>
              <w:bottom w:val="nil"/>
              <w:right w:val="nil"/>
            </w:tcBorders>
            <w:noWrap/>
            <w:tcMar>
              <w:top w:w="15" w:type="dxa"/>
              <w:left w:w="15" w:type="dxa"/>
              <w:bottom w:w="0" w:type="dxa"/>
              <w:right w:w="15" w:type="dxa"/>
            </w:tcMar>
            <w:vAlign w:val="bottom"/>
            <w:hideMark/>
          </w:tcPr>
          <w:p w14:paraId="2ED6197E" w14:textId="77777777" w:rsidR="00CA6930" w:rsidRDefault="00CA6930">
            <w:pPr>
              <w:jc w:val="right"/>
              <w:rPr>
                <w:rFonts w:ascii="Arial" w:hAnsi="Arial" w:cs="Arial"/>
                <w:sz w:val="20"/>
                <w:szCs w:val="20"/>
              </w:rPr>
            </w:pPr>
            <w:r>
              <w:rPr>
                <w:rFonts w:ascii="Arial" w:hAnsi="Arial" w:cs="Arial"/>
                <w:sz w:val="20"/>
                <w:szCs w:val="20"/>
              </w:rPr>
              <w:t>27.27%</w:t>
            </w:r>
          </w:p>
        </w:tc>
      </w:tr>
      <w:tr w:rsidR="00CA6930" w14:paraId="38E7F841"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274CBC1C" w14:textId="77777777" w:rsidR="00CA6930" w:rsidRDefault="00CA6930">
            <w:pPr>
              <w:rPr>
                <w:rFonts w:ascii="Arial" w:hAnsi="Arial" w:cs="Arial"/>
                <w:sz w:val="20"/>
                <w:szCs w:val="20"/>
              </w:rPr>
            </w:pPr>
            <w:r>
              <w:rPr>
                <w:rFonts w:ascii="Arial" w:hAnsi="Arial" w:cs="Arial"/>
                <w:sz w:val="20"/>
                <w:szCs w:val="20"/>
              </w:rPr>
              <w:t>Dilution by Future Rounds</w:t>
            </w:r>
          </w:p>
        </w:tc>
        <w:tc>
          <w:tcPr>
            <w:tcW w:w="0" w:type="auto"/>
            <w:tcBorders>
              <w:top w:val="nil"/>
              <w:left w:val="nil"/>
              <w:bottom w:val="nil"/>
              <w:right w:val="nil"/>
            </w:tcBorders>
            <w:noWrap/>
            <w:tcMar>
              <w:top w:w="15" w:type="dxa"/>
              <w:left w:w="15" w:type="dxa"/>
              <w:bottom w:w="0" w:type="dxa"/>
              <w:right w:w="15" w:type="dxa"/>
            </w:tcMar>
            <w:vAlign w:val="bottom"/>
            <w:hideMark/>
          </w:tcPr>
          <w:p w14:paraId="45D9358B" w14:textId="77777777" w:rsidR="00CA6930" w:rsidRDefault="00CA6930">
            <w:pPr>
              <w:jc w:val="right"/>
              <w:rPr>
                <w:rFonts w:ascii="Arial" w:hAnsi="Arial" w:cs="Arial"/>
                <w:sz w:val="20"/>
                <w:szCs w:val="20"/>
              </w:rPr>
            </w:pPr>
            <w:r w:rsidRPr="00CA6930">
              <w:rPr>
                <w:rFonts w:ascii="Arial" w:hAnsi="Arial" w:cs="Arial"/>
                <w:color w:val="FF0000"/>
                <w:sz w:val="20"/>
                <w:szCs w:val="20"/>
              </w:rPr>
              <w:t>15.00%</w:t>
            </w:r>
          </w:p>
        </w:tc>
      </w:tr>
      <w:tr w:rsidR="00CA6930" w14:paraId="7A0B6068"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362B9886" w14:textId="77777777" w:rsidR="00CA6930" w:rsidRDefault="00CA6930">
            <w:pPr>
              <w:rPr>
                <w:rFonts w:ascii="Arial" w:hAnsi="Arial" w:cs="Arial"/>
                <w:sz w:val="20"/>
                <w:szCs w:val="20"/>
              </w:rPr>
            </w:pPr>
            <w:r>
              <w:rPr>
                <w:rFonts w:ascii="Arial" w:hAnsi="Arial" w:cs="Arial"/>
                <w:sz w:val="20"/>
                <w:szCs w:val="20"/>
              </w:rPr>
              <w:t>Final Investor Percentage</w:t>
            </w:r>
          </w:p>
        </w:tc>
        <w:tc>
          <w:tcPr>
            <w:tcW w:w="0" w:type="auto"/>
            <w:tcBorders>
              <w:top w:val="nil"/>
              <w:left w:val="nil"/>
              <w:bottom w:val="nil"/>
              <w:right w:val="nil"/>
            </w:tcBorders>
            <w:noWrap/>
            <w:tcMar>
              <w:top w:w="15" w:type="dxa"/>
              <w:left w:w="15" w:type="dxa"/>
              <w:bottom w:w="0" w:type="dxa"/>
              <w:right w:w="15" w:type="dxa"/>
            </w:tcMar>
            <w:vAlign w:val="bottom"/>
            <w:hideMark/>
          </w:tcPr>
          <w:p w14:paraId="41872E63" w14:textId="77777777" w:rsidR="00CA6930" w:rsidRDefault="00CA6930">
            <w:pPr>
              <w:jc w:val="right"/>
              <w:rPr>
                <w:rFonts w:ascii="Arial" w:hAnsi="Arial" w:cs="Arial"/>
                <w:sz w:val="20"/>
                <w:szCs w:val="20"/>
              </w:rPr>
            </w:pPr>
            <w:r>
              <w:rPr>
                <w:rFonts w:ascii="Arial" w:hAnsi="Arial" w:cs="Arial"/>
                <w:sz w:val="20"/>
                <w:szCs w:val="20"/>
              </w:rPr>
              <w:t>23.18%</w:t>
            </w:r>
          </w:p>
        </w:tc>
      </w:tr>
      <w:tr w:rsidR="00CA6930" w14:paraId="43429A06"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217E6AD2" w14:textId="77777777" w:rsidR="00CA6930" w:rsidRDefault="00CA6930">
            <w:pPr>
              <w:jc w:val="right"/>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9D4C97E" w14:textId="77777777" w:rsidR="00CA6930" w:rsidRDefault="00CA6930">
            <w:pPr>
              <w:rPr>
                <w:sz w:val="20"/>
                <w:szCs w:val="20"/>
              </w:rPr>
            </w:pPr>
          </w:p>
        </w:tc>
      </w:tr>
      <w:tr w:rsidR="00CA6930" w14:paraId="47D74E3E"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6D1BBB4F" w14:textId="77777777" w:rsidR="00CA6930" w:rsidRDefault="00CA6930">
            <w:pPr>
              <w:rPr>
                <w:rFonts w:ascii="Arial" w:hAnsi="Arial" w:cs="Arial"/>
                <w:sz w:val="20"/>
                <w:szCs w:val="20"/>
              </w:rPr>
            </w:pPr>
            <w:r>
              <w:rPr>
                <w:rFonts w:ascii="Arial" w:hAnsi="Arial" w:cs="Arial"/>
                <w:sz w:val="20"/>
                <w:szCs w:val="20"/>
              </w:rPr>
              <w:t>Projected Value of Investors' Interest</w:t>
            </w:r>
          </w:p>
        </w:tc>
        <w:tc>
          <w:tcPr>
            <w:tcW w:w="0" w:type="auto"/>
            <w:tcBorders>
              <w:top w:val="nil"/>
              <w:left w:val="nil"/>
              <w:bottom w:val="nil"/>
              <w:right w:val="nil"/>
            </w:tcBorders>
            <w:noWrap/>
            <w:tcMar>
              <w:top w:w="15" w:type="dxa"/>
              <w:left w:w="15" w:type="dxa"/>
              <w:bottom w:w="0" w:type="dxa"/>
              <w:right w:w="15" w:type="dxa"/>
            </w:tcMar>
            <w:vAlign w:val="bottom"/>
            <w:hideMark/>
          </w:tcPr>
          <w:p w14:paraId="5BEDAB73" w14:textId="57A057F9" w:rsidR="00CA6930" w:rsidRDefault="0023096F">
            <w:pPr>
              <w:jc w:val="right"/>
              <w:rPr>
                <w:rFonts w:ascii="Arial" w:hAnsi="Arial" w:cs="Arial"/>
                <w:sz w:val="20"/>
                <w:szCs w:val="20"/>
              </w:rPr>
            </w:pPr>
            <w:r>
              <w:rPr>
                <w:rFonts w:ascii="Arial" w:hAnsi="Arial" w:cs="Arial"/>
                <w:sz w:val="20"/>
                <w:szCs w:val="20"/>
              </w:rPr>
              <w:t>30,134,000</w:t>
            </w:r>
          </w:p>
        </w:tc>
      </w:tr>
      <w:tr w:rsidR="00CA6930" w14:paraId="0CA9D809"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29E176D8" w14:textId="77777777" w:rsidR="00CA6930" w:rsidRDefault="00CA6930">
            <w:pPr>
              <w:rPr>
                <w:rFonts w:ascii="Arial" w:hAnsi="Arial" w:cs="Arial"/>
                <w:sz w:val="20"/>
                <w:szCs w:val="20"/>
              </w:rPr>
            </w:pPr>
            <w:r>
              <w:rPr>
                <w:rFonts w:ascii="Arial" w:hAnsi="Arial" w:cs="Arial"/>
                <w:sz w:val="20"/>
                <w:szCs w:val="20"/>
              </w:rPr>
              <w:t>Term of Investment</w:t>
            </w:r>
          </w:p>
        </w:tc>
        <w:tc>
          <w:tcPr>
            <w:tcW w:w="0" w:type="auto"/>
            <w:tcBorders>
              <w:top w:val="nil"/>
              <w:left w:val="nil"/>
              <w:bottom w:val="nil"/>
              <w:right w:val="nil"/>
            </w:tcBorders>
            <w:noWrap/>
            <w:tcMar>
              <w:top w:w="15" w:type="dxa"/>
              <w:left w:w="15" w:type="dxa"/>
              <w:bottom w:w="0" w:type="dxa"/>
              <w:right w:w="15" w:type="dxa"/>
            </w:tcMar>
            <w:vAlign w:val="bottom"/>
            <w:hideMark/>
          </w:tcPr>
          <w:p w14:paraId="4998F989" w14:textId="06CC0DD8" w:rsidR="00CA6930" w:rsidRDefault="0023096F">
            <w:pPr>
              <w:jc w:val="right"/>
              <w:rPr>
                <w:rFonts w:ascii="Arial" w:hAnsi="Arial" w:cs="Arial"/>
                <w:sz w:val="20"/>
                <w:szCs w:val="20"/>
              </w:rPr>
            </w:pPr>
            <w:r>
              <w:rPr>
                <w:rFonts w:ascii="Arial" w:hAnsi="Arial" w:cs="Arial"/>
                <w:sz w:val="20"/>
                <w:szCs w:val="20"/>
              </w:rPr>
              <w:t>5</w:t>
            </w:r>
          </w:p>
        </w:tc>
      </w:tr>
      <w:tr w:rsidR="00CA6930" w14:paraId="36664080"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6AD18DE2" w14:textId="77777777" w:rsidR="00CA6930" w:rsidRDefault="00CA6930">
            <w:pPr>
              <w:rPr>
                <w:rFonts w:ascii="Arial" w:hAnsi="Arial" w:cs="Arial"/>
                <w:sz w:val="20"/>
                <w:szCs w:val="20"/>
              </w:rPr>
            </w:pPr>
            <w:r>
              <w:rPr>
                <w:rFonts w:ascii="Arial" w:hAnsi="Arial" w:cs="Arial"/>
                <w:sz w:val="20"/>
                <w:szCs w:val="20"/>
              </w:rPr>
              <w:t>Projected IRR</w:t>
            </w:r>
          </w:p>
        </w:tc>
        <w:tc>
          <w:tcPr>
            <w:tcW w:w="0" w:type="auto"/>
            <w:tcBorders>
              <w:top w:val="nil"/>
              <w:left w:val="nil"/>
              <w:bottom w:val="nil"/>
              <w:right w:val="nil"/>
            </w:tcBorders>
            <w:noWrap/>
            <w:tcMar>
              <w:top w:w="15" w:type="dxa"/>
              <w:left w:w="15" w:type="dxa"/>
              <w:bottom w:w="0" w:type="dxa"/>
              <w:right w:w="15" w:type="dxa"/>
            </w:tcMar>
            <w:vAlign w:val="bottom"/>
            <w:hideMark/>
          </w:tcPr>
          <w:p w14:paraId="043D1549" w14:textId="2E273119" w:rsidR="00CA6930" w:rsidRDefault="0023096F">
            <w:pPr>
              <w:jc w:val="right"/>
              <w:rPr>
                <w:rFonts w:ascii="Arial" w:hAnsi="Arial" w:cs="Arial"/>
                <w:sz w:val="20"/>
                <w:szCs w:val="20"/>
              </w:rPr>
            </w:pPr>
            <w:r>
              <w:rPr>
                <w:rFonts w:ascii="Arial" w:hAnsi="Arial" w:cs="Arial"/>
                <w:sz w:val="20"/>
                <w:szCs w:val="20"/>
              </w:rPr>
              <w:t>82.22</w:t>
            </w:r>
            <w:r w:rsidR="00CA6930">
              <w:rPr>
                <w:rFonts w:ascii="Arial" w:hAnsi="Arial" w:cs="Arial"/>
                <w:sz w:val="20"/>
                <w:szCs w:val="20"/>
              </w:rPr>
              <w:t>%</w:t>
            </w:r>
          </w:p>
        </w:tc>
      </w:tr>
      <w:tr w:rsidR="00CA6930" w14:paraId="585E006A"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0BC54412" w14:textId="77777777" w:rsidR="00CA6930" w:rsidRDefault="00CA6930">
            <w:pPr>
              <w:rPr>
                <w:rFonts w:ascii="Arial" w:hAnsi="Arial" w:cs="Arial"/>
                <w:sz w:val="20"/>
                <w:szCs w:val="20"/>
              </w:rPr>
            </w:pPr>
            <w:r>
              <w:rPr>
                <w:rFonts w:ascii="Arial" w:hAnsi="Arial" w:cs="Arial"/>
                <w:sz w:val="20"/>
                <w:szCs w:val="20"/>
              </w:rPr>
              <w:t>Multiple of Initial Investment</w:t>
            </w:r>
          </w:p>
        </w:tc>
        <w:tc>
          <w:tcPr>
            <w:tcW w:w="0" w:type="auto"/>
            <w:tcBorders>
              <w:top w:val="nil"/>
              <w:left w:val="nil"/>
              <w:bottom w:val="nil"/>
              <w:right w:val="nil"/>
            </w:tcBorders>
            <w:noWrap/>
            <w:tcMar>
              <w:top w:w="15" w:type="dxa"/>
              <w:left w:w="15" w:type="dxa"/>
              <w:bottom w:w="0" w:type="dxa"/>
              <w:right w:w="15" w:type="dxa"/>
            </w:tcMar>
            <w:vAlign w:val="bottom"/>
            <w:hideMark/>
          </w:tcPr>
          <w:p w14:paraId="29D12AA7" w14:textId="01BD99F8" w:rsidR="00CA6930" w:rsidRDefault="0023096F">
            <w:pPr>
              <w:jc w:val="right"/>
              <w:rPr>
                <w:rFonts w:ascii="Arial" w:hAnsi="Arial" w:cs="Arial"/>
                <w:sz w:val="20"/>
                <w:szCs w:val="20"/>
              </w:rPr>
            </w:pPr>
            <w:r>
              <w:rPr>
                <w:rFonts w:ascii="Arial" w:hAnsi="Arial" w:cs="Arial"/>
                <w:sz w:val="20"/>
                <w:szCs w:val="20"/>
              </w:rPr>
              <w:t>20</w:t>
            </w:r>
          </w:p>
        </w:tc>
      </w:tr>
    </w:tbl>
    <w:p w14:paraId="0E6E4CE1" w14:textId="77777777" w:rsidR="00CA6930" w:rsidRDefault="00CA6930" w:rsidP="00A418E0">
      <w:pPr>
        <w:rPr>
          <w:rFonts w:ascii="Arial" w:eastAsia="Arial" w:hAnsi="Arial" w:cs="Arial"/>
          <w:noProof/>
          <w:sz w:val="56"/>
          <w:szCs w:val="56"/>
        </w:rPr>
      </w:pPr>
      <w:r>
        <w:rPr>
          <w:rFonts w:ascii="Arial" w:eastAsia="Arial" w:hAnsi="Arial" w:cs="Arial"/>
          <w:noProof/>
          <w:sz w:val="56"/>
          <w:szCs w:val="56"/>
        </w:rPr>
        <w:t xml:space="preserve"> </w:t>
      </w:r>
    </w:p>
    <w:tbl>
      <w:tblPr>
        <w:tblW w:w="10900" w:type="dxa"/>
        <w:tblCellMar>
          <w:left w:w="0" w:type="dxa"/>
          <w:right w:w="0" w:type="dxa"/>
        </w:tblCellMar>
        <w:tblLook w:val="04A0" w:firstRow="1" w:lastRow="0" w:firstColumn="1" w:lastColumn="0" w:noHBand="0" w:noVBand="1"/>
      </w:tblPr>
      <w:tblGrid>
        <w:gridCol w:w="10721"/>
        <w:gridCol w:w="60"/>
        <w:gridCol w:w="60"/>
        <w:gridCol w:w="60"/>
      </w:tblGrid>
      <w:tr w:rsidR="00CA6930" w14:paraId="063F0802" w14:textId="77777777" w:rsidTr="00CA6930">
        <w:trPr>
          <w:trHeight w:val="260"/>
        </w:trPr>
        <w:tc>
          <w:tcPr>
            <w:tcW w:w="10900" w:type="dxa"/>
            <w:gridSpan w:val="4"/>
            <w:tcBorders>
              <w:top w:val="nil"/>
              <w:left w:val="nil"/>
              <w:bottom w:val="nil"/>
              <w:right w:val="nil"/>
            </w:tcBorders>
            <w:noWrap/>
            <w:tcMar>
              <w:top w:w="15" w:type="dxa"/>
              <w:left w:w="15" w:type="dxa"/>
              <w:bottom w:w="0" w:type="dxa"/>
              <w:right w:w="15" w:type="dxa"/>
            </w:tcMar>
            <w:vAlign w:val="bottom"/>
            <w:hideMark/>
          </w:tcPr>
          <w:p w14:paraId="64009AC9" w14:textId="393C25FC" w:rsidR="00CA6930" w:rsidRDefault="00CA6930">
            <w:pPr>
              <w:autoSpaceDE/>
              <w:autoSpaceDN/>
              <w:adjustRightInd/>
              <w:rPr>
                <w:rFonts w:ascii="Arial" w:hAnsi="Arial" w:cs="Arial"/>
                <w:sz w:val="20"/>
                <w:szCs w:val="20"/>
                <w:lang w:eastAsia="en-US"/>
              </w:rPr>
            </w:pPr>
            <w:r>
              <w:rPr>
                <w:rFonts w:ascii="Arial" w:hAnsi="Arial" w:cs="Arial"/>
                <w:sz w:val="20"/>
                <w:szCs w:val="20"/>
              </w:rPr>
              <w:t>So, based on the current pre-money valuation, if Company has after tax profits of $</w:t>
            </w:r>
            <w:proofErr w:type="gramStart"/>
            <w:r>
              <w:rPr>
                <w:rFonts w:ascii="Arial" w:hAnsi="Arial" w:cs="Arial"/>
                <w:sz w:val="20"/>
                <w:szCs w:val="20"/>
              </w:rPr>
              <w:t>6,</w:t>
            </w:r>
            <w:r w:rsidR="00BB1DF9">
              <w:rPr>
                <w:rFonts w:ascii="Arial" w:hAnsi="Arial" w:cs="Arial"/>
                <w:sz w:val="20"/>
                <w:szCs w:val="20"/>
              </w:rPr>
              <w:t>500,000</w:t>
            </w:r>
            <w:r>
              <w:rPr>
                <w:rFonts w:ascii="Arial" w:hAnsi="Arial" w:cs="Arial"/>
                <w:sz w:val="20"/>
                <w:szCs w:val="20"/>
              </w:rPr>
              <w:t xml:space="preserve">  as</w:t>
            </w:r>
            <w:proofErr w:type="gramEnd"/>
            <w:r>
              <w:rPr>
                <w:rFonts w:ascii="Arial" w:hAnsi="Arial" w:cs="Arial"/>
                <w:sz w:val="20"/>
                <w:szCs w:val="20"/>
              </w:rPr>
              <w:t xml:space="preserve"> projected</w:t>
            </w:r>
          </w:p>
        </w:tc>
      </w:tr>
      <w:tr w:rsidR="00CA6930" w14:paraId="5B009D48" w14:textId="77777777" w:rsidTr="00CA6930">
        <w:trPr>
          <w:trHeight w:val="260"/>
        </w:trPr>
        <w:tc>
          <w:tcPr>
            <w:tcW w:w="0" w:type="auto"/>
            <w:tcBorders>
              <w:top w:val="nil"/>
              <w:left w:val="nil"/>
              <w:bottom w:val="nil"/>
              <w:right w:val="nil"/>
            </w:tcBorders>
            <w:noWrap/>
            <w:tcMar>
              <w:top w:w="15" w:type="dxa"/>
              <w:left w:w="15" w:type="dxa"/>
              <w:bottom w:w="0" w:type="dxa"/>
              <w:right w:w="15" w:type="dxa"/>
            </w:tcMar>
            <w:vAlign w:val="bottom"/>
            <w:hideMark/>
          </w:tcPr>
          <w:p w14:paraId="3B22F949" w14:textId="77777777" w:rsidR="00CA6930" w:rsidRDefault="00CA6930">
            <w:pPr>
              <w:rPr>
                <w:rFonts w:ascii="Arial" w:hAnsi="Arial" w:cs="Arial"/>
                <w:sz w:val="20"/>
                <w:szCs w:val="20"/>
              </w:rPr>
            </w:pPr>
            <w:r>
              <w:rPr>
                <w:rFonts w:ascii="Arial" w:hAnsi="Arial" w:cs="Arial"/>
                <w:sz w:val="20"/>
                <w:szCs w:val="20"/>
              </w:rPr>
              <w:t xml:space="preserve">and the company achieves a market value of 20 times after tax earnings, </w:t>
            </w:r>
          </w:p>
        </w:tc>
        <w:tc>
          <w:tcPr>
            <w:tcW w:w="0" w:type="auto"/>
            <w:tcBorders>
              <w:top w:val="nil"/>
              <w:left w:val="nil"/>
              <w:bottom w:val="nil"/>
              <w:right w:val="nil"/>
            </w:tcBorders>
            <w:noWrap/>
            <w:tcMar>
              <w:top w:w="15" w:type="dxa"/>
              <w:left w:w="15" w:type="dxa"/>
              <w:bottom w:w="0" w:type="dxa"/>
              <w:right w:w="15" w:type="dxa"/>
            </w:tcMar>
            <w:vAlign w:val="bottom"/>
            <w:hideMark/>
          </w:tcPr>
          <w:p w14:paraId="47C24713" w14:textId="77777777" w:rsidR="00CA6930" w:rsidRDefault="00CA6930">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32D90C7" w14:textId="77777777" w:rsidR="00CA6930" w:rsidRDefault="00CA6930">
            <w:pPr>
              <w:rPr>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617D2DA" w14:textId="77777777" w:rsidR="00CA6930" w:rsidRDefault="00CA6930">
            <w:pPr>
              <w:rPr>
                <w:sz w:val="20"/>
                <w:szCs w:val="20"/>
              </w:rPr>
            </w:pPr>
          </w:p>
        </w:tc>
      </w:tr>
      <w:tr w:rsidR="00CA6930" w14:paraId="435D8C6A" w14:textId="77777777" w:rsidTr="00CA6930">
        <w:trPr>
          <w:trHeight w:val="260"/>
        </w:trPr>
        <w:tc>
          <w:tcPr>
            <w:tcW w:w="0" w:type="auto"/>
            <w:gridSpan w:val="2"/>
            <w:tcBorders>
              <w:top w:val="nil"/>
              <w:left w:val="nil"/>
              <w:bottom w:val="nil"/>
              <w:right w:val="nil"/>
            </w:tcBorders>
            <w:noWrap/>
            <w:tcMar>
              <w:top w:w="15" w:type="dxa"/>
              <w:left w:w="15" w:type="dxa"/>
              <w:bottom w:w="0" w:type="dxa"/>
              <w:right w:w="15" w:type="dxa"/>
            </w:tcMar>
            <w:vAlign w:val="bottom"/>
            <w:hideMark/>
          </w:tcPr>
          <w:p w14:paraId="419ECAD0" w14:textId="1A364C64" w:rsidR="00CA6930" w:rsidRDefault="00CA6930">
            <w:pPr>
              <w:rPr>
                <w:rFonts w:ascii="Arial" w:hAnsi="Arial" w:cs="Arial"/>
                <w:sz w:val="20"/>
                <w:szCs w:val="20"/>
              </w:rPr>
            </w:pPr>
            <w:r>
              <w:rPr>
                <w:rFonts w:ascii="Arial" w:hAnsi="Arial" w:cs="Arial"/>
                <w:sz w:val="20"/>
                <w:szCs w:val="20"/>
              </w:rPr>
              <w:t xml:space="preserve">an investor in the current round will achieve a return of </w:t>
            </w:r>
            <w:r w:rsidR="0023096F">
              <w:rPr>
                <w:rFonts w:ascii="Arial" w:hAnsi="Arial" w:cs="Arial"/>
                <w:sz w:val="20"/>
                <w:szCs w:val="20"/>
              </w:rPr>
              <w:t>20</w:t>
            </w:r>
            <w:r>
              <w:rPr>
                <w:rFonts w:ascii="Arial" w:hAnsi="Arial" w:cs="Arial"/>
                <w:sz w:val="20"/>
                <w:szCs w:val="20"/>
              </w:rPr>
              <w:t xml:space="preserve"> times its initial investment</w:t>
            </w:r>
            <w:r w:rsidR="0023096F">
              <w:rPr>
                <w:rFonts w:ascii="Arial" w:hAnsi="Arial" w:cs="Arial"/>
                <w:sz w:val="20"/>
                <w:szCs w:val="20"/>
              </w:rPr>
              <w:t>.</w:t>
            </w:r>
          </w:p>
        </w:tc>
        <w:tc>
          <w:tcPr>
            <w:tcW w:w="0" w:type="auto"/>
            <w:tcBorders>
              <w:top w:val="nil"/>
              <w:left w:val="nil"/>
              <w:bottom w:val="nil"/>
              <w:right w:val="nil"/>
            </w:tcBorders>
            <w:noWrap/>
            <w:tcMar>
              <w:top w:w="15" w:type="dxa"/>
              <w:left w:w="15" w:type="dxa"/>
              <w:bottom w:w="0" w:type="dxa"/>
              <w:right w:w="15" w:type="dxa"/>
            </w:tcMar>
            <w:vAlign w:val="bottom"/>
            <w:hideMark/>
          </w:tcPr>
          <w:p w14:paraId="03D762D6" w14:textId="77777777" w:rsidR="00CA6930" w:rsidRDefault="00CA6930">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8F753FA" w14:textId="77777777" w:rsidR="00CA6930" w:rsidRDefault="00CA6930">
            <w:pPr>
              <w:rPr>
                <w:sz w:val="20"/>
                <w:szCs w:val="20"/>
              </w:rPr>
            </w:pPr>
          </w:p>
        </w:tc>
      </w:tr>
    </w:tbl>
    <w:p w14:paraId="7C7618DA" w14:textId="77777777" w:rsidR="00CA6930" w:rsidRDefault="00CA6930">
      <w:pPr>
        <w:autoSpaceDE/>
        <w:autoSpaceDN/>
        <w:adjustRightInd/>
        <w:rPr>
          <w:rFonts w:ascii="Arial" w:eastAsia="Arial" w:hAnsi="Arial" w:cs="Arial"/>
          <w:noProof/>
          <w:sz w:val="56"/>
          <w:szCs w:val="56"/>
        </w:rPr>
      </w:pPr>
      <w:r>
        <w:rPr>
          <w:rFonts w:ascii="Arial" w:eastAsia="Arial" w:hAnsi="Arial" w:cs="Arial"/>
          <w:noProof/>
          <w:sz w:val="56"/>
          <w:szCs w:val="56"/>
        </w:rPr>
        <w:t xml:space="preserve"> </w:t>
      </w:r>
    </w:p>
    <w:p w14:paraId="570DA931" w14:textId="153AA6A7" w:rsidR="00CA6930" w:rsidRPr="00CA6930" w:rsidRDefault="00CA6930">
      <w:pPr>
        <w:autoSpaceDE/>
        <w:autoSpaceDN/>
        <w:adjustRightInd/>
        <w:rPr>
          <w:rFonts w:ascii="Arial" w:eastAsia="Arial" w:hAnsi="Arial" w:cs="Arial"/>
          <w:noProof/>
        </w:rPr>
      </w:pPr>
      <w:r w:rsidRPr="00CA6930">
        <w:rPr>
          <w:rFonts w:ascii="Arial" w:eastAsia="Arial" w:hAnsi="Arial" w:cs="Arial"/>
          <w:noProof/>
        </w:rPr>
        <w:t xml:space="preserve">Note: this chart is </w:t>
      </w:r>
      <w:r w:rsidRPr="00082C17">
        <w:rPr>
          <w:rFonts w:ascii="Arial" w:eastAsia="Arial" w:hAnsi="Arial" w:cs="Arial"/>
          <w:noProof/>
          <w:u w:val="single"/>
        </w:rPr>
        <w:t>not</w:t>
      </w:r>
      <w:r w:rsidRPr="00CA6930">
        <w:rPr>
          <w:rFonts w:ascii="Arial" w:eastAsia="Arial" w:hAnsi="Arial" w:cs="Arial"/>
          <w:noProof/>
        </w:rPr>
        <w:t xml:space="preserve"> based on the premoney value</w:t>
      </w:r>
      <w:r w:rsidR="0023096F">
        <w:rPr>
          <w:rFonts w:ascii="Arial" w:eastAsia="Arial" w:hAnsi="Arial" w:cs="Arial"/>
          <w:noProof/>
        </w:rPr>
        <w:t>s</w:t>
      </w:r>
      <w:r w:rsidRPr="00CA6930">
        <w:rPr>
          <w:rFonts w:ascii="Arial" w:eastAsia="Arial" w:hAnsi="Arial" w:cs="Arial"/>
          <w:noProof/>
        </w:rPr>
        <w:t xml:space="preserve"> shown on the previous page.</w:t>
      </w:r>
      <w:r w:rsidRPr="00CA6930">
        <w:rPr>
          <w:rFonts w:ascii="Arial" w:eastAsia="Arial" w:hAnsi="Arial" w:cs="Arial"/>
          <w:noProof/>
        </w:rPr>
        <w:br w:type="page"/>
      </w:r>
    </w:p>
    <w:p w14:paraId="15A79B3C" w14:textId="77777777" w:rsidR="004D3851" w:rsidRDefault="004D3851" w:rsidP="00A418E0">
      <w:pPr>
        <w:rPr>
          <w:rFonts w:ascii="Arial" w:eastAsia="Arial" w:hAnsi="Arial" w:cs="Arial"/>
          <w:sz w:val="28"/>
          <w:szCs w:val="28"/>
        </w:rPr>
      </w:pPr>
    </w:p>
    <w:p w14:paraId="0FEF9074" w14:textId="77777777" w:rsidR="004D3851" w:rsidRDefault="004D3851" w:rsidP="00A418E0">
      <w:pPr>
        <w:rPr>
          <w:rFonts w:ascii="Arial" w:eastAsia="Arial" w:hAnsi="Arial" w:cs="Arial"/>
          <w:sz w:val="28"/>
          <w:szCs w:val="28"/>
        </w:rPr>
      </w:pPr>
    </w:p>
    <w:p w14:paraId="3FA32D06" w14:textId="77777777" w:rsidR="004D3851" w:rsidRDefault="004D3851" w:rsidP="00A418E0">
      <w:pPr>
        <w:rPr>
          <w:rFonts w:ascii="Arial" w:eastAsia="Arial" w:hAnsi="Arial" w:cs="Arial"/>
          <w:sz w:val="28"/>
          <w:szCs w:val="28"/>
        </w:rPr>
      </w:pPr>
    </w:p>
    <w:p w14:paraId="7B316E81" w14:textId="77777777" w:rsidR="004D3851" w:rsidRDefault="004D3851" w:rsidP="00A418E0">
      <w:pPr>
        <w:rPr>
          <w:rFonts w:ascii="Arial" w:eastAsia="Arial" w:hAnsi="Arial" w:cs="Arial"/>
          <w:sz w:val="28"/>
          <w:szCs w:val="28"/>
        </w:rPr>
      </w:pPr>
    </w:p>
    <w:p w14:paraId="0A6C3434" w14:textId="77777777" w:rsidR="004D3851" w:rsidRDefault="004D3851" w:rsidP="00A418E0">
      <w:pPr>
        <w:rPr>
          <w:rFonts w:ascii="Arial" w:eastAsia="Arial" w:hAnsi="Arial" w:cs="Arial"/>
          <w:sz w:val="28"/>
          <w:szCs w:val="28"/>
        </w:rPr>
      </w:pPr>
    </w:p>
    <w:p w14:paraId="5C820053" w14:textId="77777777" w:rsidR="004D3851" w:rsidRDefault="004D3851" w:rsidP="00A418E0">
      <w:pPr>
        <w:rPr>
          <w:rFonts w:ascii="Arial" w:eastAsia="Arial" w:hAnsi="Arial" w:cs="Arial"/>
          <w:sz w:val="28"/>
          <w:szCs w:val="28"/>
        </w:rPr>
      </w:pPr>
    </w:p>
    <w:p w14:paraId="51419BD3" w14:textId="77777777" w:rsidR="004D3851" w:rsidRDefault="004D3851" w:rsidP="00A418E0">
      <w:pPr>
        <w:rPr>
          <w:rFonts w:ascii="Arial" w:eastAsia="Arial" w:hAnsi="Arial" w:cs="Arial"/>
          <w:sz w:val="28"/>
          <w:szCs w:val="28"/>
        </w:rPr>
      </w:pPr>
    </w:p>
    <w:p w14:paraId="4003BC05" w14:textId="02535070" w:rsidR="009570C7" w:rsidRDefault="00703706" w:rsidP="00A418E0">
      <w:pPr>
        <w:rPr>
          <w:rFonts w:ascii="Arial" w:eastAsia="Arial" w:hAnsi="Arial" w:cs="Arial"/>
          <w:sz w:val="28"/>
          <w:szCs w:val="28"/>
        </w:rPr>
      </w:pPr>
      <w:r>
        <w:rPr>
          <w:rFonts w:ascii="Arial" w:eastAsia="Arial" w:hAnsi="Arial" w:cs="Arial"/>
          <w:noProof/>
          <w:sz w:val="56"/>
          <w:szCs w:val="56"/>
        </w:rPr>
        <mc:AlternateContent>
          <mc:Choice Requires="wps">
            <w:drawing>
              <wp:anchor distT="0" distB="0" distL="114300" distR="114300" simplePos="0" relativeHeight="251658240" behindDoc="0" locked="0" layoutInCell="1" allowOverlap="1" wp14:anchorId="44093D8F" wp14:editId="24868151">
                <wp:simplePos x="0" y="0"/>
                <wp:positionH relativeFrom="column">
                  <wp:posOffset>-2431915</wp:posOffset>
                </wp:positionH>
                <wp:positionV relativeFrom="paragraph">
                  <wp:posOffset>816489</wp:posOffset>
                </wp:positionV>
                <wp:extent cx="542638" cy="129786"/>
                <wp:effectExtent l="0" t="0" r="16510" b="10160"/>
                <wp:wrapNone/>
                <wp:docPr id="10" name="Rounded Rectangle 10"/>
                <wp:cNvGraphicFramePr/>
                <a:graphic xmlns:a="http://schemas.openxmlformats.org/drawingml/2006/main">
                  <a:graphicData uri="http://schemas.microsoft.com/office/word/2010/wordprocessingShape">
                    <wps:wsp>
                      <wps:cNvSpPr/>
                      <wps:spPr>
                        <a:xfrm>
                          <a:off x="0" y="0"/>
                          <a:ext cx="542638" cy="1297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F13C1F" w14:textId="77777777" w:rsidR="00703706" w:rsidRPr="00E56E2D" w:rsidRDefault="00703706" w:rsidP="00703706">
                            <w:pPr>
                              <w:jc w:val="center"/>
                              <w:rPr>
                                <w:rFonts w:asciiTheme="minorHAnsi" w:hAnsiTheme="minorHAnsi" w:cstheme="minorHAnsi"/>
                                <w:sz w:val="36"/>
                                <w:szCs w:val="36"/>
                              </w:rPr>
                            </w:pPr>
                            <w:r w:rsidRPr="00E56E2D">
                              <w:rPr>
                                <w:rFonts w:asciiTheme="minorHAnsi" w:hAnsiTheme="minorHAnsi" w:cstheme="minorHAnsi"/>
                                <w:sz w:val="13"/>
                                <w:szCs w:val="13"/>
                              </w:rPr>
                              <w:t>NEW FOR 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93D8F" id="Rounded Rectangle 10" o:spid="_x0000_s1026" style="position:absolute;margin-left:-191.5pt;margin-top:64.3pt;width:42.7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" fillcolor="#4472c4 [3204]" strokecolor="#1f3763 [1604]" strokeweight="1pt">
                <v:stroke joinstyle="miter"/>
                <v:textbox inset="0,0,0,0">
                  <w:txbxContent>
                    <w:p w14:paraId="7EF13C1F" w14:textId="77777777" w:rsidR="00703706" w:rsidRPr="00E56E2D" w:rsidRDefault="00703706" w:rsidP="00703706">
                      <w:pPr>
                        <w:jc w:val="center"/>
                        <w:rPr>
                          <w:rFonts w:asciiTheme="minorHAnsi" w:hAnsiTheme="minorHAnsi" w:cstheme="minorHAnsi"/>
                          <w:sz w:val="36"/>
                          <w:szCs w:val="36"/>
                        </w:rPr>
                      </w:pPr>
                      <w:r w:rsidRPr="00E56E2D">
                        <w:rPr>
                          <w:rFonts w:asciiTheme="minorHAnsi" w:hAnsiTheme="minorHAnsi" w:cstheme="minorHAnsi"/>
                          <w:sz w:val="13"/>
                          <w:szCs w:val="13"/>
                        </w:rPr>
                        <w:t>NEW FOR 3.0</w:t>
                      </w:r>
                    </w:p>
                  </w:txbxContent>
                </v:textbox>
              </v:roundrect>
            </w:pict>
          </mc:Fallback>
        </mc:AlternateContent>
      </w:r>
      <w:r w:rsidR="009570C7">
        <w:rPr>
          <w:rFonts w:ascii="Arial" w:eastAsia="Arial" w:hAnsi="Arial" w:cs="Arial"/>
          <w:sz w:val="28"/>
          <w:szCs w:val="28"/>
        </w:rPr>
        <w:t xml:space="preserve">Interesting Reference:  </w:t>
      </w:r>
    </w:p>
    <w:p w14:paraId="3D75C4F8" w14:textId="77777777" w:rsidR="009570C7" w:rsidRDefault="009570C7" w:rsidP="00A418E0">
      <w:pPr>
        <w:rPr>
          <w:rFonts w:ascii="Arial" w:eastAsia="Arial" w:hAnsi="Arial" w:cs="Arial"/>
          <w:sz w:val="28"/>
          <w:szCs w:val="28"/>
        </w:rPr>
      </w:pPr>
    </w:p>
    <w:p w14:paraId="73992600" w14:textId="77777777" w:rsidR="004D3851" w:rsidRDefault="009570C7" w:rsidP="00A418E0">
      <w:pPr>
        <w:rPr>
          <w:rFonts w:ascii="Arial" w:eastAsia="Arial" w:hAnsi="Arial" w:cs="Arial"/>
          <w:sz w:val="28"/>
          <w:szCs w:val="28"/>
        </w:rPr>
      </w:pPr>
      <w:r>
        <w:rPr>
          <w:rFonts w:ascii="Arial" w:eastAsia="Arial" w:hAnsi="Arial" w:cs="Arial"/>
          <w:sz w:val="28"/>
          <w:szCs w:val="28"/>
        </w:rPr>
        <w:t xml:space="preserve">TikTok – Nichole </w:t>
      </w:r>
      <w:proofErr w:type="spellStart"/>
      <w:r>
        <w:rPr>
          <w:rFonts w:ascii="Arial" w:eastAsia="Arial" w:hAnsi="Arial" w:cs="Arial"/>
          <w:sz w:val="28"/>
          <w:szCs w:val="28"/>
        </w:rPr>
        <w:t>Wischoff</w:t>
      </w:r>
      <w:proofErr w:type="spellEnd"/>
      <w:r w:rsidR="00DF2F35">
        <w:rPr>
          <w:rFonts w:ascii="Arial" w:eastAsia="Arial" w:hAnsi="Arial" w:cs="Arial"/>
          <w:sz w:val="28"/>
          <w:szCs w:val="28"/>
        </w:rPr>
        <w:t xml:space="preserve"> – </w:t>
      </w:r>
      <w:proofErr w:type="spellStart"/>
      <w:r w:rsidR="00DF2F35">
        <w:rPr>
          <w:rFonts w:ascii="Arial" w:eastAsia="Arial" w:hAnsi="Arial" w:cs="Arial"/>
          <w:sz w:val="28"/>
          <w:szCs w:val="28"/>
        </w:rPr>
        <w:t>Wischoff</w:t>
      </w:r>
      <w:proofErr w:type="spellEnd"/>
      <w:r w:rsidR="00DF2F35">
        <w:rPr>
          <w:rFonts w:ascii="Arial" w:eastAsia="Arial" w:hAnsi="Arial" w:cs="Arial"/>
          <w:sz w:val="28"/>
          <w:szCs w:val="28"/>
        </w:rPr>
        <w:t xml:space="preserve"> Ventures</w:t>
      </w:r>
    </w:p>
    <w:p w14:paraId="78A83A07" w14:textId="30672CE2" w:rsidR="0023096F" w:rsidRDefault="0023096F" w:rsidP="00A418E0">
      <w:pPr>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t xml:space="preserve">Kate McAndrews - </w:t>
      </w:r>
      <w:proofErr w:type="spellStart"/>
      <w:r>
        <w:rPr>
          <w:rFonts w:ascii="Arial" w:eastAsia="Arial" w:hAnsi="Arial" w:cs="Arial"/>
          <w:sz w:val="28"/>
          <w:szCs w:val="28"/>
        </w:rPr>
        <w:t>Baukunst</w:t>
      </w:r>
      <w:proofErr w:type="spellEnd"/>
    </w:p>
    <w:p w14:paraId="083D738B" w14:textId="77777777" w:rsidR="004D3851" w:rsidRDefault="004D3851" w:rsidP="00A418E0">
      <w:pPr>
        <w:rPr>
          <w:rFonts w:ascii="Arial" w:eastAsia="Arial" w:hAnsi="Arial" w:cs="Arial"/>
          <w:sz w:val="28"/>
          <w:szCs w:val="28"/>
        </w:rPr>
      </w:pPr>
    </w:p>
    <w:p w14:paraId="5B091EA9" w14:textId="3D2A4C5B" w:rsidR="0023096F" w:rsidRDefault="004D3851" w:rsidP="00A418E0">
      <w:pPr>
        <w:rPr>
          <w:rFonts w:ascii="Arial" w:eastAsia="Arial" w:hAnsi="Arial" w:cs="Arial"/>
          <w:sz w:val="28"/>
          <w:szCs w:val="28"/>
        </w:rPr>
      </w:pPr>
      <w:r>
        <w:rPr>
          <w:rFonts w:ascii="Arial" w:eastAsia="Arial" w:hAnsi="Arial" w:cs="Arial"/>
          <w:sz w:val="28"/>
          <w:szCs w:val="28"/>
        </w:rPr>
        <w:t xml:space="preserve">SAFEs - </w:t>
      </w:r>
      <w:hyperlink r:id="rId11" w:history="1">
        <w:r w:rsidR="0023096F" w:rsidRPr="00DE7BC3">
          <w:rPr>
            <w:rStyle w:val="Hyperlink"/>
            <w:rFonts w:ascii="Arial" w:eastAsia="Arial" w:hAnsi="Arial" w:cs="Arial"/>
            <w:sz w:val="28"/>
            <w:szCs w:val="28"/>
          </w:rPr>
          <w:t>https://www.upcounsel.com/safe-notes</w:t>
        </w:r>
      </w:hyperlink>
    </w:p>
    <w:p w14:paraId="232BF8DB" w14:textId="31332307" w:rsidR="0023096F" w:rsidRDefault="0023096F" w:rsidP="00A418E0">
      <w:pPr>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hyperlink r:id="rId12" w:history="1">
        <w:r w:rsidRPr="00DE7BC3">
          <w:rPr>
            <w:rStyle w:val="Hyperlink"/>
            <w:rFonts w:ascii="Arial" w:eastAsia="Arial" w:hAnsi="Arial" w:cs="Arial"/>
            <w:sz w:val="28"/>
            <w:szCs w:val="28"/>
          </w:rPr>
          <w:t>www.ycombinator.com/documents</w:t>
        </w:r>
      </w:hyperlink>
    </w:p>
    <w:p w14:paraId="73D24DCD" w14:textId="67DCF83C" w:rsidR="004918AB" w:rsidRDefault="00F35817" w:rsidP="00A418E0">
      <w:pPr>
        <w:rPr>
          <w:rFonts w:ascii="Arial" w:eastAsia="Arial" w:hAnsi="Arial" w:cs="Arial"/>
          <w:sz w:val="56"/>
          <w:szCs w:val="56"/>
        </w:rPr>
      </w:pPr>
      <w:r>
        <w:rPr>
          <w:rFonts w:ascii="Arial" w:eastAsia="Arial" w:hAnsi="Arial" w:cs="Arial"/>
          <w:sz w:val="56"/>
          <w:szCs w:val="56"/>
        </w:rPr>
        <w:br/>
      </w:r>
    </w:p>
    <w:p w14:paraId="1A1CD088" w14:textId="7BEFB86A" w:rsidR="004918AB" w:rsidRPr="000F747B" w:rsidRDefault="004918AB" w:rsidP="00F35817">
      <w:pPr>
        <w:rPr>
          <w:rFonts w:eastAsia="Arial"/>
        </w:rPr>
      </w:pPr>
    </w:p>
    <w:p w14:paraId="6A97D5DC" w14:textId="7AF89181" w:rsidR="00BF3C12" w:rsidRPr="0032111D" w:rsidRDefault="00BF3C12">
      <w:pPr>
        <w:autoSpaceDE/>
        <w:autoSpaceDN/>
        <w:adjustRightInd/>
        <w:rPr>
          <w:b/>
          <w:i/>
        </w:rPr>
      </w:pPr>
    </w:p>
    <w:p w14:paraId="001D888C" w14:textId="77777777" w:rsidR="00BF3C12" w:rsidRDefault="00BF3C12">
      <w:pPr>
        <w:autoSpaceDE/>
        <w:autoSpaceDN/>
        <w:adjustRightInd/>
        <w:rPr>
          <w:rFonts w:ascii="Arial" w:hAnsi="Arial" w:cs="Arial"/>
          <w:i/>
          <w:sz w:val="21"/>
          <w:szCs w:val="21"/>
        </w:rPr>
      </w:pPr>
    </w:p>
    <w:p w14:paraId="7F017AB1" w14:textId="76CCDF65" w:rsidR="00E56E2D" w:rsidRDefault="00E56E2D">
      <w:pPr>
        <w:autoSpaceDE/>
        <w:autoSpaceDN/>
        <w:adjustRightInd/>
        <w:rPr>
          <w:rFonts w:ascii="Arial" w:hAnsi="Arial" w:cs="Arial"/>
          <w:i/>
          <w:sz w:val="21"/>
          <w:szCs w:val="21"/>
        </w:rPr>
      </w:pPr>
    </w:p>
    <w:p w14:paraId="2CA312B7" w14:textId="0711B50D" w:rsidR="00E56E2D" w:rsidRDefault="00E56E2D">
      <w:pPr>
        <w:autoSpaceDE/>
        <w:autoSpaceDN/>
        <w:adjustRightInd/>
        <w:rPr>
          <w:rFonts w:ascii="Arial" w:hAnsi="Arial" w:cs="Arial"/>
          <w:i/>
          <w:sz w:val="21"/>
          <w:szCs w:val="21"/>
        </w:rPr>
      </w:pPr>
    </w:p>
    <w:p w14:paraId="4D5B5A89" w14:textId="44AD170E" w:rsidR="00E56E2D" w:rsidRDefault="00E56E2D">
      <w:pPr>
        <w:autoSpaceDE/>
        <w:autoSpaceDN/>
        <w:adjustRightInd/>
        <w:rPr>
          <w:rFonts w:ascii="Arial" w:hAnsi="Arial" w:cs="Arial"/>
          <w:i/>
          <w:sz w:val="21"/>
          <w:szCs w:val="21"/>
        </w:rPr>
      </w:pPr>
    </w:p>
    <w:p w14:paraId="3F5A5365" w14:textId="3CC35D08" w:rsidR="00BF3C12" w:rsidRDefault="00BF3C12">
      <w:pPr>
        <w:autoSpaceDE/>
        <w:autoSpaceDN/>
        <w:adjustRightInd/>
        <w:rPr>
          <w:rFonts w:ascii="Arial" w:hAnsi="Arial" w:cs="Arial"/>
          <w:i/>
          <w:sz w:val="21"/>
          <w:szCs w:val="21"/>
        </w:rPr>
      </w:pPr>
      <w:r>
        <w:rPr>
          <w:rFonts w:ascii="Arial" w:hAnsi="Arial" w:cs="Arial"/>
          <w:i/>
          <w:sz w:val="21"/>
          <w:szCs w:val="21"/>
        </w:rPr>
        <w:br w:type="page"/>
      </w:r>
    </w:p>
    <w:p w14:paraId="2DD4BDBB" w14:textId="77777777" w:rsidR="00E56E2D" w:rsidRDefault="00E56E2D">
      <w:pPr>
        <w:autoSpaceDE/>
        <w:autoSpaceDN/>
        <w:adjustRightInd/>
        <w:rPr>
          <w:rFonts w:ascii="Arial" w:hAnsi="Arial" w:cs="Arial"/>
          <w:i/>
          <w:sz w:val="21"/>
          <w:szCs w:val="21"/>
        </w:rPr>
      </w:pPr>
    </w:p>
    <w:p w14:paraId="1A9312F5" w14:textId="283F176A" w:rsidR="00A418E0" w:rsidRPr="00CD2E6E" w:rsidRDefault="00A418E0" w:rsidP="00CD2E6E"/>
    <w:p w14:paraId="3BB011B3" w14:textId="4687E6A6" w:rsidR="00DD2457" w:rsidRPr="006A7FA4" w:rsidRDefault="00DD2457" w:rsidP="006A7FA4">
      <w:pPr>
        <w:jc w:val="center"/>
        <w:rPr>
          <w:b/>
          <w:bCs/>
        </w:rPr>
      </w:pPr>
      <w:bookmarkStart w:id="1" w:name="_Investors:"/>
      <w:bookmarkStart w:id="2" w:name="_Pre-Money_Valuation:"/>
      <w:bookmarkStart w:id="3" w:name="_Investors"/>
      <w:bookmarkStart w:id="4" w:name="__Median_SAFE_vs"/>
      <w:bookmarkStart w:id="5" w:name="_Liquidation"/>
      <w:bookmarkStart w:id="6" w:name="_Redemption"/>
      <w:bookmarkStart w:id="7" w:name="_Toc46754166"/>
      <w:bookmarkStart w:id="8" w:name="_Toc71882464"/>
      <w:bookmarkStart w:id="9" w:name="_Toc71882635"/>
      <w:bookmarkStart w:id="10" w:name="_Toc71883325"/>
      <w:bookmarkStart w:id="11" w:name="_Toc71883525"/>
      <w:bookmarkEnd w:id="1"/>
      <w:bookmarkEnd w:id="2"/>
      <w:bookmarkEnd w:id="3"/>
      <w:bookmarkEnd w:id="4"/>
      <w:bookmarkEnd w:id="5"/>
      <w:bookmarkEnd w:id="6"/>
      <w:r w:rsidRPr="006A7FA4">
        <w:rPr>
          <w:b/>
          <w:bCs/>
        </w:rPr>
        <w:t>TERM SHEET</w:t>
      </w:r>
      <w:bookmarkEnd w:id="7"/>
      <w:bookmarkEnd w:id="8"/>
      <w:bookmarkEnd w:id="9"/>
      <w:bookmarkEnd w:id="10"/>
      <w:bookmarkEnd w:id="11"/>
      <w:r w:rsidR="009570C7">
        <w:rPr>
          <w:rStyle w:val="FootnoteReference"/>
          <w:b/>
          <w:bCs/>
        </w:rPr>
        <w:footnoteReference w:id="2"/>
      </w:r>
    </w:p>
    <w:p w14:paraId="6CA3E0D5" w14:textId="77777777" w:rsidR="00DD2457" w:rsidRPr="006A7FA4" w:rsidRDefault="00DD2457" w:rsidP="006A7FA4">
      <w:pPr>
        <w:jc w:val="center"/>
        <w:rPr>
          <w:b/>
          <w:bCs/>
        </w:rPr>
      </w:pPr>
      <w:bookmarkStart w:id="12" w:name="_Toc46754167"/>
      <w:bookmarkStart w:id="13" w:name="_Toc71882465"/>
      <w:bookmarkStart w:id="14" w:name="_Toc71882636"/>
      <w:bookmarkStart w:id="15" w:name="_Toc71883326"/>
      <w:bookmarkStart w:id="16" w:name="_Toc71883526"/>
      <w:r w:rsidRPr="006A7FA4">
        <w:rPr>
          <w:b/>
          <w:bCs/>
        </w:rPr>
        <w:t>FOR SERIES A PREFERRED STOCK FINANCING OF</w:t>
      </w:r>
      <w:bookmarkEnd w:id="12"/>
      <w:bookmarkEnd w:id="13"/>
      <w:bookmarkEnd w:id="14"/>
      <w:bookmarkEnd w:id="15"/>
      <w:bookmarkEnd w:id="16"/>
    </w:p>
    <w:p w14:paraId="40EA2D22" w14:textId="7C848FD0" w:rsidR="00697C56" w:rsidRPr="006A7FA4" w:rsidRDefault="006B62E5" w:rsidP="006A7FA4">
      <w:pPr>
        <w:jc w:val="center"/>
        <w:rPr>
          <w:b/>
          <w:bCs/>
        </w:rPr>
      </w:pPr>
      <w:bookmarkStart w:id="17" w:name="_Toc46754168"/>
      <w:bookmarkStart w:id="18" w:name="_Toc71882466"/>
      <w:bookmarkStart w:id="19" w:name="_Toc71882637"/>
      <w:bookmarkStart w:id="20" w:name="_Toc71883327"/>
      <w:bookmarkStart w:id="21" w:name="_Toc71883527"/>
      <w:r>
        <w:rPr>
          <w:b/>
          <w:bCs/>
        </w:rPr>
        <w:t>GEM CITY</w:t>
      </w:r>
      <w:r w:rsidR="00DD2457" w:rsidRPr="006A7FA4">
        <w:rPr>
          <w:b/>
          <w:bCs/>
        </w:rPr>
        <w:t>, INC.</w:t>
      </w:r>
      <w:bookmarkStart w:id="22" w:name="_Toc46754169"/>
      <w:bookmarkStart w:id="23" w:name="_Toc71882467"/>
      <w:bookmarkStart w:id="24" w:name="_Toc71882638"/>
      <w:bookmarkStart w:id="25" w:name="_Toc71883328"/>
      <w:bookmarkStart w:id="26" w:name="_Toc71883528"/>
      <w:bookmarkEnd w:id="17"/>
      <w:bookmarkEnd w:id="18"/>
      <w:bookmarkEnd w:id="19"/>
      <w:bookmarkEnd w:id="20"/>
      <w:bookmarkEnd w:id="21"/>
    </w:p>
    <w:p w14:paraId="0C89FA17" w14:textId="72A9D69E" w:rsidR="00DD2457" w:rsidRPr="006A7FA4" w:rsidRDefault="0032111D" w:rsidP="006A7FA4">
      <w:pPr>
        <w:jc w:val="center"/>
        <w:rPr>
          <w:b/>
          <w:bCs/>
        </w:rPr>
      </w:pPr>
      <w:r>
        <w:rPr>
          <w:b/>
          <w:bCs/>
        </w:rPr>
        <w:t xml:space="preserve"> September 1</w:t>
      </w:r>
      <w:r w:rsidR="0023096F">
        <w:rPr>
          <w:b/>
          <w:bCs/>
        </w:rPr>
        <w:t>0</w:t>
      </w:r>
      <w:r w:rsidR="00DD2457" w:rsidRPr="006A7FA4">
        <w:rPr>
          <w:b/>
          <w:bCs/>
        </w:rPr>
        <w:t>, 20</w:t>
      </w:r>
      <w:bookmarkEnd w:id="22"/>
      <w:bookmarkEnd w:id="23"/>
      <w:bookmarkEnd w:id="24"/>
      <w:bookmarkEnd w:id="25"/>
      <w:bookmarkEnd w:id="26"/>
      <w:r>
        <w:rPr>
          <w:b/>
          <w:bCs/>
        </w:rPr>
        <w:t>2</w:t>
      </w:r>
      <w:r w:rsidR="0023096F">
        <w:rPr>
          <w:b/>
          <w:bCs/>
        </w:rPr>
        <w:t>5</w:t>
      </w:r>
    </w:p>
    <w:p w14:paraId="0A9271D8" w14:textId="77777777" w:rsidR="00697C56" w:rsidRPr="00697C56" w:rsidRDefault="00697C56" w:rsidP="00697C56">
      <w:pPr>
        <w:pStyle w:val="BodyText"/>
      </w:pPr>
    </w:p>
    <w:p w14:paraId="244BEFAB" w14:textId="79521E9B" w:rsidR="00DD2457" w:rsidRDefault="00DD2457" w:rsidP="008A1E64">
      <w:pPr>
        <w:pStyle w:val="BodyText"/>
      </w:pPr>
      <w:r>
        <w:t xml:space="preserve">This Term Sheet summarizes the principal terms of the Series A Preferred Stock Financing of </w:t>
      </w:r>
      <w:r w:rsidR="00FD11AA">
        <w:t>Gem City</w:t>
      </w:r>
      <w:r>
        <w:t>, Inc., a Delaware corporation (the “</w:t>
      </w:r>
      <w:r>
        <w:rPr>
          <w:b/>
          <w:bCs/>
        </w:rPr>
        <w:t>Company</w:t>
      </w:r>
      <w:r>
        <w:t xml:space="preserve">”).  In consideration of the time and expense devoted and to be devoted by the Investors with respect to this investment, the No Shop/Confidentiality provisions of this Term Sheet shall be binding obligations of the Company whether or not the financing is </w:t>
      </w:r>
      <w:r w:rsidRPr="00FD57EE">
        <w:t>consummated</w:t>
      </w:r>
      <w:r>
        <w:t xml:space="preserve">.  No other legally binding obligations will be created until definitive agreements are executed and delivered by all parties.  This Term Sheet is not a commitment to </w:t>
      </w:r>
      <w:proofErr w:type="gramStart"/>
      <w:r>
        <w:t>invest, and</w:t>
      </w:r>
      <w:proofErr w:type="gramEnd"/>
      <w:r>
        <w:t xml:space="preserve"> is conditioned on the completion of the </w:t>
      </w:r>
      <w:r w:rsidRPr="00C00599">
        <w:t>c</w:t>
      </w:r>
      <w:r w:rsidRPr="003B12B9">
        <w:t xml:space="preserve">onditions to </w:t>
      </w:r>
      <w:r w:rsidRPr="00C00599">
        <w:t>c</w:t>
      </w:r>
      <w:r w:rsidRPr="003B12B9">
        <w:t>losing</w:t>
      </w:r>
      <w:r w:rsidRPr="00C00599">
        <w:t xml:space="preserve"> set forth below</w:t>
      </w:r>
      <w:r>
        <w:t xml:space="preserve">.  This Term Sheet shall be governed in all respects by the laws of </w:t>
      </w:r>
      <w:r w:rsidR="00FD11AA">
        <w:t>Delaware</w:t>
      </w:r>
      <w:r w:rsidRPr="00AB3CB8">
        <w:t>.</w:t>
      </w:r>
    </w:p>
    <w:tbl>
      <w:tblPr>
        <w:tblW w:w="5000" w:type="pct"/>
        <w:tblLook w:val="0000" w:firstRow="0" w:lastRow="0" w:firstColumn="0" w:lastColumn="0" w:noHBand="0" w:noVBand="0"/>
      </w:tblPr>
      <w:tblGrid>
        <w:gridCol w:w="2967"/>
        <w:gridCol w:w="6393"/>
      </w:tblGrid>
      <w:tr w:rsidR="00DD2457" w14:paraId="3E5854A9" w14:textId="77777777" w:rsidTr="00682930">
        <w:tc>
          <w:tcPr>
            <w:tcW w:w="1585" w:type="pct"/>
            <w:tcBorders>
              <w:top w:val="nil"/>
              <w:left w:val="nil"/>
              <w:bottom w:val="nil"/>
              <w:right w:val="nil"/>
            </w:tcBorders>
          </w:tcPr>
          <w:p w14:paraId="10362627" w14:textId="77777777" w:rsidR="00DD2457" w:rsidRPr="00682930" w:rsidRDefault="00DD2457" w:rsidP="00682930">
            <w:pPr>
              <w:rPr>
                <w:b/>
                <w:u w:val="single"/>
              </w:rPr>
            </w:pPr>
            <w:r w:rsidRPr="00682930">
              <w:rPr>
                <w:b/>
                <w:u w:val="single"/>
              </w:rPr>
              <w:t>Offering Terms</w:t>
            </w:r>
          </w:p>
        </w:tc>
        <w:tc>
          <w:tcPr>
            <w:tcW w:w="3415" w:type="pct"/>
            <w:tcBorders>
              <w:top w:val="nil"/>
              <w:left w:val="nil"/>
              <w:bottom w:val="nil"/>
              <w:right w:val="nil"/>
            </w:tcBorders>
            <w:shd w:val="clear" w:color="auto" w:fill="FFFFFF"/>
          </w:tcPr>
          <w:p w14:paraId="08624E09" w14:textId="77777777" w:rsidR="00DD2457" w:rsidRDefault="00DD2457" w:rsidP="00FD57EE">
            <w:pPr>
              <w:pStyle w:val="TableText"/>
            </w:pPr>
          </w:p>
        </w:tc>
      </w:tr>
      <w:tr w:rsidR="00DD2457" w14:paraId="066E7B37" w14:textId="77777777" w:rsidTr="00682930">
        <w:tc>
          <w:tcPr>
            <w:tcW w:w="1585" w:type="pct"/>
            <w:tcBorders>
              <w:top w:val="nil"/>
              <w:left w:val="nil"/>
              <w:bottom w:val="nil"/>
              <w:right w:val="nil"/>
            </w:tcBorders>
          </w:tcPr>
          <w:p w14:paraId="5DB4A35F" w14:textId="77777777" w:rsidR="00DD2457" w:rsidRPr="00C00599" w:rsidRDefault="00DD2457" w:rsidP="00FD57EE">
            <w:pPr>
              <w:pStyle w:val="TableItalics"/>
            </w:pPr>
            <w:r>
              <w:t>Security:</w:t>
            </w:r>
          </w:p>
        </w:tc>
        <w:tc>
          <w:tcPr>
            <w:tcW w:w="3415" w:type="pct"/>
            <w:tcBorders>
              <w:top w:val="nil"/>
              <w:left w:val="nil"/>
              <w:bottom w:val="nil"/>
              <w:right w:val="nil"/>
            </w:tcBorders>
            <w:shd w:val="clear" w:color="auto" w:fill="FFFFFF"/>
          </w:tcPr>
          <w:p w14:paraId="75EC5464" w14:textId="77777777" w:rsidR="00DD2457" w:rsidRPr="00B25951" w:rsidRDefault="00DD2457" w:rsidP="00FD57EE">
            <w:pPr>
              <w:pStyle w:val="TableText"/>
            </w:pPr>
            <w:r>
              <w:t>Series A Preferred Stock (the “</w:t>
            </w:r>
            <w:r w:rsidRPr="00C00599">
              <w:rPr>
                <w:b/>
                <w:bCs/>
              </w:rPr>
              <w:t>Series A Preferred</w:t>
            </w:r>
            <w:r>
              <w:t>”).</w:t>
            </w:r>
          </w:p>
        </w:tc>
      </w:tr>
      <w:tr w:rsidR="00DD2457" w14:paraId="30ADBFDC" w14:textId="77777777" w:rsidTr="00682930">
        <w:tc>
          <w:tcPr>
            <w:tcW w:w="1585" w:type="pct"/>
            <w:tcBorders>
              <w:top w:val="nil"/>
              <w:left w:val="nil"/>
              <w:bottom w:val="nil"/>
              <w:right w:val="nil"/>
            </w:tcBorders>
          </w:tcPr>
          <w:p w14:paraId="57799C42" w14:textId="77777777" w:rsidR="00DD2457" w:rsidRDefault="00DD2457" w:rsidP="00FD57EE">
            <w:pPr>
              <w:pStyle w:val="TableItalics"/>
            </w:pPr>
            <w:r>
              <w:br w:type="page"/>
              <w:t>Closing Date:</w:t>
            </w:r>
          </w:p>
        </w:tc>
        <w:tc>
          <w:tcPr>
            <w:tcW w:w="3415" w:type="pct"/>
            <w:tcBorders>
              <w:top w:val="nil"/>
              <w:left w:val="nil"/>
              <w:bottom w:val="nil"/>
              <w:right w:val="nil"/>
            </w:tcBorders>
            <w:shd w:val="clear" w:color="auto" w:fill="FFFFFF"/>
          </w:tcPr>
          <w:p w14:paraId="6F6C816A" w14:textId="5E6D1C2A" w:rsidR="00DD2457" w:rsidRDefault="00DD2457" w:rsidP="00FD57EE">
            <w:pPr>
              <w:pStyle w:val="TableText"/>
            </w:pPr>
            <w:r>
              <w:t>As soon as practicable following the Company’s acceptance of this Term Sheet and satisfaction of the conditions to closing (the “</w:t>
            </w:r>
            <w:r>
              <w:rPr>
                <w:b/>
                <w:bCs/>
              </w:rPr>
              <w:t>Closing</w:t>
            </w:r>
            <w:r>
              <w:t xml:space="preserve">”).  </w:t>
            </w:r>
          </w:p>
        </w:tc>
      </w:tr>
      <w:tr w:rsidR="00DD2457" w14:paraId="07393474" w14:textId="77777777" w:rsidTr="00682930">
        <w:tc>
          <w:tcPr>
            <w:tcW w:w="1585" w:type="pct"/>
            <w:tcBorders>
              <w:top w:val="nil"/>
              <w:left w:val="nil"/>
              <w:bottom w:val="nil"/>
              <w:right w:val="nil"/>
            </w:tcBorders>
          </w:tcPr>
          <w:p w14:paraId="14A63A9C" w14:textId="77777777" w:rsidR="00DD2457" w:rsidRPr="00C00599" w:rsidRDefault="00DD2457" w:rsidP="00FD57EE">
            <w:pPr>
              <w:pStyle w:val="TableItalics"/>
            </w:pPr>
            <w:r w:rsidRPr="00C00599">
              <w:t>Conditions to Closing</w:t>
            </w:r>
            <w:r>
              <w:t>:</w:t>
            </w:r>
          </w:p>
        </w:tc>
        <w:tc>
          <w:tcPr>
            <w:tcW w:w="3415" w:type="pct"/>
            <w:tcBorders>
              <w:top w:val="nil"/>
              <w:left w:val="nil"/>
              <w:bottom w:val="nil"/>
              <w:right w:val="nil"/>
            </w:tcBorders>
            <w:shd w:val="clear" w:color="auto" w:fill="FFFFFF"/>
          </w:tcPr>
          <w:p w14:paraId="4823246D" w14:textId="00268F05" w:rsidR="00DD2457" w:rsidRDefault="00DD2457" w:rsidP="00FD57EE">
            <w:pPr>
              <w:pStyle w:val="TableText"/>
            </w:pPr>
            <w:r>
              <w:t>Standard conditions to Closing, including, among other things, satisfactory completion of financial and legal due diligence, qualification of the shares under applicable Blue Sky laws, the filing of a Certificate of Incorporation establishing the rights and preferences of the Series A Preferred, obtaining CFIUS clearance and/or a statement from CFIUS that no further review is necessary, and an opinion of counsel to the Company.</w:t>
            </w:r>
          </w:p>
        </w:tc>
      </w:tr>
      <w:bookmarkStart w:id="27" w:name="Investors"/>
      <w:bookmarkEnd w:id="27"/>
      <w:tr w:rsidR="00DD2457" w14:paraId="51215E7A" w14:textId="77777777" w:rsidTr="00682930">
        <w:tc>
          <w:tcPr>
            <w:tcW w:w="1585" w:type="pct"/>
            <w:tcBorders>
              <w:top w:val="nil"/>
              <w:left w:val="nil"/>
              <w:bottom w:val="nil"/>
              <w:right w:val="nil"/>
            </w:tcBorders>
          </w:tcPr>
          <w:p w14:paraId="389E0B3A" w14:textId="66798EE7" w:rsidR="00DD2457" w:rsidRPr="00693ACA" w:rsidRDefault="00693ACA" w:rsidP="00693ACA">
            <w:pPr>
              <w:rPr>
                <w:i/>
                <w:iCs/>
              </w:rPr>
            </w:pPr>
            <w:r>
              <w:rPr>
                <w:i/>
                <w:iCs/>
              </w:rPr>
              <w:fldChar w:fldCharType="begin"/>
            </w:r>
            <w:r>
              <w:rPr>
                <w:i/>
                <w:iCs/>
              </w:rPr>
              <w:instrText xml:space="preserve"> HYPERLINK  \l "_Median_Fully_Diluted" </w:instrText>
            </w:r>
            <w:r>
              <w:rPr>
                <w:i/>
                <w:iCs/>
              </w:rPr>
            </w:r>
            <w:r>
              <w:rPr>
                <w:i/>
                <w:iCs/>
              </w:rPr>
              <w:fldChar w:fldCharType="separate"/>
            </w:r>
            <w:r w:rsidR="00480551" w:rsidRPr="00693ACA">
              <w:rPr>
                <w:rStyle w:val="Hyperlink"/>
                <w:i/>
                <w:iCs/>
              </w:rPr>
              <w:t>Investors</w:t>
            </w:r>
            <w:r>
              <w:rPr>
                <w:i/>
                <w:iCs/>
              </w:rPr>
              <w:fldChar w:fldCharType="end"/>
            </w:r>
            <w:r w:rsidR="00480551" w:rsidRPr="00693ACA">
              <w:rPr>
                <w:i/>
                <w:iCs/>
              </w:rPr>
              <w:t>:</w:t>
            </w:r>
          </w:p>
        </w:tc>
        <w:tc>
          <w:tcPr>
            <w:tcW w:w="3415" w:type="pct"/>
            <w:tcBorders>
              <w:top w:val="nil"/>
              <w:left w:val="nil"/>
              <w:bottom w:val="nil"/>
              <w:right w:val="nil"/>
            </w:tcBorders>
            <w:shd w:val="clear" w:color="auto" w:fill="FFFFFF"/>
          </w:tcPr>
          <w:p w14:paraId="222175AE" w14:textId="49ADF0DC" w:rsidR="00DD2457" w:rsidRDefault="00DD2457" w:rsidP="00FD57EE">
            <w:pPr>
              <w:pStyle w:val="TableText"/>
            </w:pPr>
            <w:r>
              <w:t xml:space="preserve">Investor No. 1:  </w:t>
            </w:r>
            <w:r w:rsidR="00EE777F">
              <w:t>Dayton Venture Fund</w:t>
            </w:r>
            <w:r w:rsidR="004C246B">
              <w:t>,</w:t>
            </w:r>
            <w:r>
              <w:t xml:space="preserve"> </w:t>
            </w:r>
            <w:r w:rsidR="00EE777F">
              <w:t xml:space="preserve">50,000 </w:t>
            </w:r>
            <w:r>
              <w:t>shares (</w:t>
            </w:r>
            <w:r w:rsidR="00EE777F">
              <w:t>25</w:t>
            </w:r>
            <w:r>
              <w:t>%), $</w:t>
            </w:r>
            <w:r w:rsidR="0023096F">
              <w:t>5</w:t>
            </w:r>
            <w:r w:rsidR="004C246B">
              <w:t>,000,000</w:t>
            </w:r>
          </w:p>
          <w:p w14:paraId="78AC643B" w14:textId="0ED1412D" w:rsidR="00DD2457" w:rsidRDefault="00DD2457" w:rsidP="00FD57EE">
            <w:pPr>
              <w:pStyle w:val="TableText"/>
            </w:pPr>
            <w:r>
              <w:t xml:space="preserve">Investor No. 2:  </w:t>
            </w:r>
            <w:r w:rsidR="004C246B">
              <w:t xml:space="preserve">Flyer Venture Fund, </w:t>
            </w:r>
            <w:r w:rsidR="00232676">
              <w:t>25,000</w:t>
            </w:r>
            <w:r>
              <w:t xml:space="preserve"> shares (</w:t>
            </w:r>
            <w:r w:rsidR="00232676">
              <w:t>12.5</w:t>
            </w:r>
            <w:r>
              <w:t>%), $</w:t>
            </w:r>
            <w:r w:rsidR="0023096F">
              <w:t>2,5</w:t>
            </w:r>
            <w:r w:rsidR="00232676">
              <w:t>00,000</w:t>
            </w:r>
          </w:p>
          <w:p w14:paraId="088E2B57" w14:textId="77777777" w:rsidR="00DD2457" w:rsidRDefault="00DD2457" w:rsidP="00FD57EE">
            <w:pPr>
              <w:pStyle w:val="TableText"/>
            </w:pPr>
            <w:r>
              <w:t>[as well other investors mutually agreed upon by Investors and the Company]</w:t>
            </w:r>
          </w:p>
        </w:tc>
      </w:tr>
      <w:bookmarkStart w:id="28" w:name="Amount_Raised"/>
      <w:bookmarkEnd w:id="28"/>
      <w:tr w:rsidR="00DD2457" w14:paraId="469D7680" w14:textId="77777777" w:rsidTr="00682930">
        <w:tc>
          <w:tcPr>
            <w:tcW w:w="1585" w:type="pct"/>
            <w:tcBorders>
              <w:top w:val="nil"/>
              <w:left w:val="nil"/>
              <w:bottom w:val="nil"/>
              <w:right w:val="nil"/>
            </w:tcBorders>
          </w:tcPr>
          <w:p w14:paraId="08325F2B" w14:textId="07C498FA" w:rsidR="00DD2457" w:rsidRDefault="00727C1F" w:rsidP="00FD57EE">
            <w:pPr>
              <w:pStyle w:val="TableItalics"/>
            </w:pPr>
            <w:r>
              <w:lastRenderedPageBreak/>
              <w:fldChar w:fldCharType="begin"/>
            </w:r>
            <w:r w:rsidR="00C05F47">
              <w:instrText>HYPERLINK  \l "_Median_Amount_Raised_1"</w:instrText>
            </w:r>
            <w:r>
              <w:fldChar w:fldCharType="separate"/>
            </w:r>
            <w:r w:rsidR="00DD2457" w:rsidRPr="00727C1F">
              <w:rPr>
                <w:rStyle w:val="Hyperlink"/>
              </w:rPr>
              <w:t>Amount Raised</w:t>
            </w:r>
            <w:r>
              <w:fldChar w:fldCharType="end"/>
            </w:r>
          </w:p>
        </w:tc>
        <w:tc>
          <w:tcPr>
            <w:tcW w:w="3415" w:type="pct"/>
            <w:tcBorders>
              <w:top w:val="nil"/>
              <w:left w:val="nil"/>
              <w:bottom w:val="nil"/>
              <w:right w:val="nil"/>
            </w:tcBorders>
            <w:shd w:val="clear" w:color="auto" w:fill="FFFFFF"/>
          </w:tcPr>
          <w:p w14:paraId="0F7996DE" w14:textId="7173F005" w:rsidR="00DD2457" w:rsidRDefault="00DD2457" w:rsidP="00FD57EE">
            <w:pPr>
              <w:pStyle w:val="TableText"/>
              <w:rPr>
                <w:vertAlign w:val="superscript"/>
              </w:rPr>
            </w:pPr>
            <w:r>
              <w:t>$</w:t>
            </w:r>
            <w:r w:rsidR="0023096F">
              <w:t>10</w:t>
            </w:r>
            <w:r w:rsidR="009A6AAB">
              <w:t>,000,000</w:t>
            </w:r>
            <w:r>
              <w:t>, including $</w:t>
            </w:r>
            <w:r w:rsidR="00301CB6">
              <w:t>250,000</w:t>
            </w:r>
            <w:r>
              <w:t xml:space="preserve"> from the conversion of principal and interest on bridge notes.</w:t>
            </w:r>
            <w:r w:rsidRPr="00B71D49">
              <w:rPr>
                <w:rStyle w:val="FootnoteReference"/>
                <w:sz w:val="24"/>
              </w:rPr>
              <w:footnoteReference w:id="3"/>
            </w:r>
          </w:p>
        </w:tc>
      </w:tr>
      <w:bookmarkStart w:id="29" w:name="_Pre-Money_Valuation:_1"/>
      <w:bookmarkStart w:id="30" w:name="Premoney"/>
      <w:bookmarkEnd w:id="29"/>
      <w:bookmarkEnd w:id="30"/>
      <w:tr w:rsidR="00DD2457" w14:paraId="28671B3E" w14:textId="77777777" w:rsidTr="00682930">
        <w:tc>
          <w:tcPr>
            <w:tcW w:w="1585" w:type="pct"/>
            <w:tcBorders>
              <w:top w:val="nil"/>
              <w:left w:val="nil"/>
              <w:bottom w:val="nil"/>
              <w:right w:val="nil"/>
            </w:tcBorders>
          </w:tcPr>
          <w:p w14:paraId="21D7DAA7" w14:textId="629E15E6" w:rsidR="00DD2457" w:rsidRPr="00456DA2" w:rsidRDefault="00456DA2" w:rsidP="00456DA2">
            <w:pPr>
              <w:rPr>
                <w:i/>
                <w:iCs/>
              </w:rPr>
            </w:pPr>
            <w:r>
              <w:rPr>
                <w:i/>
                <w:iCs/>
              </w:rPr>
              <w:fldChar w:fldCharType="begin"/>
            </w:r>
            <w:r>
              <w:rPr>
                <w:i/>
                <w:iCs/>
              </w:rPr>
              <w:instrText xml:space="preserve"> HYPERLINK  \l "_Median_SAFE_vs" </w:instrText>
            </w:r>
            <w:r>
              <w:rPr>
                <w:i/>
                <w:iCs/>
              </w:rPr>
            </w:r>
            <w:r>
              <w:rPr>
                <w:i/>
                <w:iCs/>
              </w:rPr>
              <w:fldChar w:fldCharType="separate"/>
            </w:r>
            <w:r w:rsidR="00DD2457" w:rsidRPr="00456DA2">
              <w:rPr>
                <w:rStyle w:val="Hyperlink"/>
                <w:i/>
                <w:iCs/>
              </w:rPr>
              <w:t>Pre-Money Valuation</w:t>
            </w:r>
            <w:r>
              <w:rPr>
                <w:i/>
                <w:iCs/>
              </w:rPr>
              <w:fldChar w:fldCharType="end"/>
            </w:r>
            <w:r w:rsidR="00DD2457" w:rsidRPr="00456DA2">
              <w:rPr>
                <w:i/>
                <w:iCs/>
              </w:rPr>
              <w:t>:</w:t>
            </w:r>
          </w:p>
        </w:tc>
        <w:tc>
          <w:tcPr>
            <w:tcW w:w="3415" w:type="pct"/>
            <w:tcBorders>
              <w:top w:val="nil"/>
              <w:left w:val="nil"/>
              <w:bottom w:val="nil"/>
              <w:right w:val="nil"/>
            </w:tcBorders>
            <w:shd w:val="clear" w:color="auto" w:fill="FFFFFF"/>
          </w:tcPr>
          <w:p w14:paraId="70EBFD73" w14:textId="1EF89F45" w:rsidR="00DD2457" w:rsidRDefault="00DD2457" w:rsidP="00FD57EE">
            <w:pPr>
              <w:pStyle w:val="TableText"/>
            </w:pPr>
            <w:r>
              <w:t>The price per share of the Series A Preferred (the “</w:t>
            </w:r>
            <w:r w:rsidRPr="00A01DFF">
              <w:rPr>
                <w:b/>
                <w:bCs/>
              </w:rPr>
              <w:t>Original Purchase Price</w:t>
            </w:r>
            <w:r>
              <w:t xml:space="preserve">”) shall be the price determined </w:t>
            </w:r>
            <w:proofErr w:type="gramStart"/>
            <w:r>
              <w:t>on the basis of</w:t>
            </w:r>
            <w:proofErr w:type="gramEnd"/>
            <w:r>
              <w:t xml:space="preserve"> a </w:t>
            </w:r>
            <w:proofErr w:type="gramStart"/>
            <w:r>
              <w:t>fully-diluted</w:t>
            </w:r>
            <w:proofErr w:type="gramEnd"/>
            <w:r>
              <w:t xml:space="preserve"> pre-money valuation of $</w:t>
            </w:r>
            <w:r w:rsidR="0023096F">
              <w:t>10</w:t>
            </w:r>
            <w:r w:rsidR="00301CB6">
              <w:t>,000,000</w:t>
            </w:r>
            <w:r>
              <w:t xml:space="preserve"> (which pre-money valuation shall include an unallocated and uncommitted employee option pool representing </w:t>
            </w:r>
            <w:r w:rsidR="00301CB6">
              <w:t>10</w:t>
            </w:r>
            <w:r>
              <w:t>% of the fully</w:t>
            </w:r>
            <w:r>
              <w:noBreakHyphen/>
              <w:t>diluted post-money capitalization) and a fully</w:t>
            </w:r>
            <w:r>
              <w:noBreakHyphen/>
              <w:t>diluted post-money valuation of $</w:t>
            </w:r>
            <w:r w:rsidR="0023096F">
              <w:t>20</w:t>
            </w:r>
            <w:r w:rsidR="00301CB6">
              <w:t>,000,000</w:t>
            </w:r>
            <w:r>
              <w:t xml:space="preserve">.  </w:t>
            </w:r>
          </w:p>
        </w:tc>
      </w:tr>
      <w:tr w:rsidR="00DD2457" w14:paraId="33A3FF09" w14:textId="77777777" w:rsidTr="00682930">
        <w:tc>
          <w:tcPr>
            <w:tcW w:w="5000" w:type="pct"/>
            <w:gridSpan w:val="2"/>
            <w:tcBorders>
              <w:top w:val="nil"/>
              <w:left w:val="nil"/>
              <w:bottom w:val="nil"/>
              <w:right w:val="nil"/>
            </w:tcBorders>
          </w:tcPr>
          <w:p w14:paraId="168CD3BF" w14:textId="77777777" w:rsidR="00DD2457" w:rsidRPr="00FD57EE" w:rsidRDefault="00DD2457" w:rsidP="00FD57EE">
            <w:pPr>
              <w:pStyle w:val="TableTextBU"/>
            </w:pPr>
            <w:r w:rsidRPr="00FD57EE">
              <w:t>CHARTER</w:t>
            </w:r>
          </w:p>
        </w:tc>
      </w:tr>
      <w:bookmarkStart w:id="31" w:name="Dividends"/>
      <w:bookmarkEnd w:id="31"/>
      <w:tr w:rsidR="00DD2457" w14:paraId="0C6E9B26" w14:textId="77777777" w:rsidTr="00682930">
        <w:tc>
          <w:tcPr>
            <w:tcW w:w="1585" w:type="pct"/>
            <w:tcBorders>
              <w:top w:val="nil"/>
              <w:left w:val="nil"/>
              <w:bottom w:val="nil"/>
              <w:right w:val="nil"/>
            </w:tcBorders>
          </w:tcPr>
          <w:p w14:paraId="357BBC09" w14:textId="17FB34F1" w:rsidR="00DD2457" w:rsidRDefault="00D90F45" w:rsidP="00FD57EE">
            <w:pPr>
              <w:pStyle w:val="TableItalics"/>
            </w:pPr>
            <w:r>
              <w:fldChar w:fldCharType="begin"/>
            </w:r>
            <w:r>
              <w:instrText xml:space="preserve"> HYPERLINK  \l "_Frequency_of_Non-Cumulative" </w:instrText>
            </w:r>
            <w:r>
              <w:fldChar w:fldCharType="separate"/>
            </w:r>
            <w:r w:rsidR="00DD2457" w:rsidRPr="00D90F45">
              <w:rPr>
                <w:rStyle w:val="Hyperlink"/>
              </w:rPr>
              <w:t>Dividends</w:t>
            </w:r>
            <w:r>
              <w:fldChar w:fldCharType="end"/>
            </w:r>
            <w:r w:rsidR="00DD2457">
              <w:t>:</w:t>
            </w:r>
          </w:p>
        </w:tc>
        <w:tc>
          <w:tcPr>
            <w:tcW w:w="3415" w:type="pct"/>
            <w:tcBorders>
              <w:top w:val="nil"/>
              <w:left w:val="nil"/>
              <w:bottom w:val="nil"/>
              <w:right w:val="nil"/>
            </w:tcBorders>
          </w:tcPr>
          <w:p w14:paraId="244E62E9" w14:textId="1368C2DE" w:rsidR="00DD2457" w:rsidRPr="00AE7729" w:rsidRDefault="00DD2457" w:rsidP="00FD57EE">
            <w:pPr>
              <w:pStyle w:val="TableText"/>
            </w:pPr>
            <w:r w:rsidRPr="00AE7729">
              <w:t>Non-cumulative dividends will be paid on the Series A Preferred in an amount equal to $</w:t>
            </w:r>
            <w:r w:rsidR="00204942">
              <w:t>1.00</w:t>
            </w:r>
            <w:r w:rsidRPr="00AE7729">
              <w:t xml:space="preserve"> per share of Series A Preferred when and if declared by the Board of Directors.</w:t>
            </w:r>
          </w:p>
          <w:p w14:paraId="6E354395" w14:textId="5DBA2ADD" w:rsidR="00DD2457" w:rsidRPr="00AE7729" w:rsidRDefault="00DD2457" w:rsidP="00FD57EE">
            <w:pPr>
              <w:pStyle w:val="TableText"/>
            </w:pPr>
          </w:p>
        </w:tc>
      </w:tr>
      <w:tr w:rsidR="00DD2457" w14:paraId="733E4F24" w14:textId="77777777" w:rsidTr="00682930">
        <w:tc>
          <w:tcPr>
            <w:tcW w:w="1585" w:type="pct"/>
            <w:tcBorders>
              <w:top w:val="nil"/>
              <w:left w:val="nil"/>
              <w:bottom w:val="nil"/>
              <w:right w:val="nil"/>
            </w:tcBorders>
          </w:tcPr>
          <w:p w14:paraId="0A42C990" w14:textId="6062D7B6" w:rsidR="00DD2457" w:rsidRDefault="00DD2457" w:rsidP="000C50A0">
            <w:pPr>
              <w:pStyle w:val="TableItalics"/>
            </w:pPr>
            <w:bookmarkStart w:id="32" w:name="Percentage"/>
            <w:bookmarkStart w:id="33" w:name="Liquidation"/>
            <w:bookmarkEnd w:id="32"/>
            <w:bookmarkEnd w:id="33"/>
            <w:r>
              <w:br w:type="page"/>
            </w:r>
            <w:r>
              <w:br w:type="page"/>
            </w:r>
            <w:hyperlink w:anchor="_Frequency_of_1x" w:history="1">
              <w:r w:rsidRPr="00456DA2">
                <w:rPr>
                  <w:rStyle w:val="Hyperlink"/>
                </w:rPr>
                <w:t>Liquidation Preference</w:t>
              </w:r>
            </w:hyperlink>
            <w:r>
              <w:t>:</w:t>
            </w:r>
          </w:p>
        </w:tc>
        <w:tc>
          <w:tcPr>
            <w:tcW w:w="3415" w:type="pct"/>
            <w:tcBorders>
              <w:top w:val="nil"/>
              <w:left w:val="nil"/>
              <w:bottom w:val="nil"/>
              <w:right w:val="nil"/>
            </w:tcBorders>
          </w:tcPr>
          <w:p w14:paraId="3F3B5B1A" w14:textId="77777777" w:rsidR="00DD2457" w:rsidRDefault="00DD2457" w:rsidP="00FD57EE">
            <w:pPr>
              <w:pStyle w:val="TableText"/>
            </w:pPr>
            <w:r>
              <w:t>In the event of any liquidation, dissolution or winding up of the Company, the proceeds shall be paid as follows:</w:t>
            </w:r>
          </w:p>
          <w:p w14:paraId="1EC16247" w14:textId="4B79C242" w:rsidR="00DD2457" w:rsidRDefault="00DD2457" w:rsidP="00FD57EE">
            <w:pPr>
              <w:pStyle w:val="TableText"/>
            </w:pPr>
            <w:r>
              <w:t xml:space="preserve">First pay </w:t>
            </w:r>
            <w:r w:rsidR="00254247">
              <w:t>one</w:t>
            </w:r>
            <w:r>
              <w:t xml:space="preserve"> times the Original Purchase </w:t>
            </w:r>
            <w:proofErr w:type="gramStart"/>
            <w:r>
              <w:t>Price  on</w:t>
            </w:r>
            <w:proofErr w:type="gramEnd"/>
            <w:r>
              <w:t xml:space="preserve"> each share of Series A Preferred.  Thereafter, Series A Preferred </w:t>
            </w:r>
            <w:r w:rsidRPr="0023096F">
              <w:rPr>
                <w:color w:val="EE0000"/>
              </w:rPr>
              <w:t>participates</w:t>
            </w:r>
            <w:r>
              <w:t xml:space="preserve"> with Common Stock </w:t>
            </w:r>
            <w:r w:rsidRPr="00DC6329">
              <w:t xml:space="preserve">pro rata </w:t>
            </w:r>
            <w:r>
              <w:t>on an as-converted basis</w:t>
            </w:r>
            <w:r>
              <w:rPr>
                <w:i/>
                <w:iCs/>
              </w:rPr>
              <w:t xml:space="preserve"> </w:t>
            </w:r>
            <w:r>
              <w:t>until the holders of Series A Preferred receive an aggregate of</w:t>
            </w:r>
            <w:r w:rsidR="009B1DB2">
              <w:t xml:space="preserve"> three</w:t>
            </w:r>
            <w:r>
              <w:rPr>
                <w:i/>
                <w:iCs/>
              </w:rPr>
              <w:t xml:space="preserve"> </w:t>
            </w:r>
            <w:r>
              <w:t>times the Original Purchase Price</w:t>
            </w:r>
            <w:r w:rsidRPr="00DC6329">
              <w:t xml:space="preserve"> (including the amount paid pursuant to the preceding sentence)</w:t>
            </w:r>
            <w:r w:rsidRPr="00C00599">
              <w:t>.</w:t>
            </w:r>
          </w:p>
          <w:p w14:paraId="7BE3F516" w14:textId="6DF0FF39" w:rsidR="00DD2457" w:rsidRDefault="00DD2457" w:rsidP="00FD57EE">
            <w:pPr>
              <w:pStyle w:val="TableText"/>
              <w:rPr>
                <w:vertAlign w:val="superscript"/>
              </w:rPr>
            </w:pPr>
            <w:r>
              <w:t>A merger or consolidation (other than one in which stockholders of the Company own a majority by voting power of the outstanding shares of the surviving or acquiring corporation) or a sale, lease, transfer</w:t>
            </w:r>
            <w:r w:rsidRPr="00DC6329">
              <w:t>, exclusive license</w:t>
            </w:r>
            <w:r w:rsidRPr="00DC6329">
              <w:rPr>
                <w:b/>
              </w:rPr>
              <w:t xml:space="preserve"> </w:t>
            </w:r>
            <w:r>
              <w:t>or other disposition of all or substantially all of the assets of the Company will be treated as a liquidation event (a “</w:t>
            </w:r>
            <w:r>
              <w:rPr>
                <w:b/>
                <w:bCs/>
              </w:rPr>
              <w:t>Deemed Liquidation Event</w:t>
            </w:r>
            <w:r>
              <w:t xml:space="preserve">”), thereby triggering payment of the liquidation preferences described above unless the holders of </w:t>
            </w:r>
            <w:r w:rsidR="009B1DB2">
              <w:t>more than 50</w:t>
            </w:r>
            <w:r>
              <w:t>% of the Series A Preferred elect otherwise (the “</w:t>
            </w:r>
            <w:r w:rsidRPr="00DB4821">
              <w:rPr>
                <w:b/>
                <w:iCs/>
              </w:rPr>
              <w:t>Requisite Holders</w:t>
            </w:r>
            <w:r>
              <w:t xml:space="preserve">”).  </w:t>
            </w:r>
            <w:r w:rsidRPr="00DC6329">
              <w:t>The Investors</w:t>
            </w:r>
            <w:r>
              <w:t>’</w:t>
            </w:r>
            <w:r w:rsidRPr="00DC6329">
              <w:t xml:space="preserve"> entitlement to their liquidation preference shall not be abrogated or diminished in the event part of the consideration is subject to escrow </w:t>
            </w:r>
            <w:r>
              <w:t xml:space="preserve">or indemnity holdback </w:t>
            </w:r>
            <w:r w:rsidRPr="00DC6329">
              <w:t>in connection with a Deemed Liquidation Event.</w:t>
            </w:r>
          </w:p>
        </w:tc>
      </w:tr>
      <w:tr w:rsidR="00DD2457" w14:paraId="7EF33C9B" w14:textId="77777777" w:rsidTr="00682930">
        <w:tc>
          <w:tcPr>
            <w:tcW w:w="1585" w:type="pct"/>
            <w:tcBorders>
              <w:top w:val="nil"/>
              <w:left w:val="nil"/>
              <w:bottom w:val="nil"/>
              <w:right w:val="nil"/>
            </w:tcBorders>
          </w:tcPr>
          <w:p w14:paraId="386F058D" w14:textId="77777777" w:rsidR="00DD2457" w:rsidRDefault="00DD2457" w:rsidP="00FD57EE">
            <w:pPr>
              <w:pStyle w:val="TableItalics"/>
              <w:rPr>
                <w:b/>
                <w:bCs/>
              </w:rPr>
            </w:pPr>
            <w:r>
              <w:lastRenderedPageBreak/>
              <w:t>Voting Rights:</w:t>
            </w:r>
          </w:p>
        </w:tc>
        <w:tc>
          <w:tcPr>
            <w:tcW w:w="3415" w:type="pct"/>
            <w:tcBorders>
              <w:top w:val="nil"/>
              <w:left w:val="nil"/>
              <w:bottom w:val="nil"/>
              <w:right w:val="nil"/>
            </w:tcBorders>
          </w:tcPr>
          <w:p w14:paraId="1634B43D" w14:textId="7F3B6564" w:rsidR="00DD2457" w:rsidRDefault="00DD2457" w:rsidP="00FD57EE">
            <w:pPr>
              <w:pStyle w:val="TableText"/>
              <w:rPr>
                <w:b/>
                <w:bCs/>
              </w:rPr>
            </w:pPr>
            <w:r>
              <w:t>The Series A Preferred shall vote together with the Common Stock on an as-converted basis, and not as a separate class, except (i</w:t>
            </w:r>
            <w:r w:rsidRPr="00DC7B51">
              <w:t xml:space="preserve">) </w:t>
            </w:r>
            <w:r w:rsidRPr="00DB4821">
              <w:t xml:space="preserve">so long as </w:t>
            </w:r>
            <w:r w:rsidR="00BE5D31" w:rsidRPr="00C8767E">
              <w:t>50</w:t>
            </w:r>
            <w:r w:rsidRPr="00C8767E">
              <w:t xml:space="preserve"> %</w:t>
            </w:r>
            <w:r>
              <w:t xml:space="preserve"> of </w:t>
            </w:r>
            <w:r w:rsidRPr="00DB4821">
              <w:t>the shares of Series A Preferred issued in the transaction are outstanding,</w:t>
            </w:r>
            <w:r w:rsidRPr="00DC6329">
              <w:t xml:space="preserve"> </w:t>
            </w:r>
            <w:r>
              <w:t xml:space="preserve">the Series A Preferred as a separate class shall be entitled to elect </w:t>
            </w:r>
            <w:r w:rsidR="00C8767E">
              <w:t>two</w:t>
            </w:r>
            <w:r>
              <w:t xml:space="preserve"> members of the Board of Directors (each a “Preferred Director”), (ii) as required by law, and (iii) as provided in “Protective Provisions” below.  The Company’s Charter will provide that the number of authorized shares of Common Stock may be increased or decreased with the approval of a majority of the Preferred and Common Stock, voting together as a single class, and without a separate class vote by the Common Stock.</w:t>
            </w:r>
            <w:r w:rsidRPr="00DC6329">
              <w:t xml:space="preserve"> </w:t>
            </w:r>
          </w:p>
        </w:tc>
      </w:tr>
      <w:tr w:rsidR="00DD2457" w14:paraId="7437ED75" w14:textId="77777777" w:rsidTr="00682930">
        <w:tc>
          <w:tcPr>
            <w:tcW w:w="1585" w:type="pct"/>
            <w:tcBorders>
              <w:top w:val="nil"/>
              <w:left w:val="nil"/>
              <w:bottom w:val="nil"/>
              <w:right w:val="nil"/>
            </w:tcBorders>
          </w:tcPr>
          <w:p w14:paraId="54690C34" w14:textId="77777777" w:rsidR="00DD2457" w:rsidRDefault="00DD2457" w:rsidP="00FD57EE">
            <w:pPr>
              <w:pStyle w:val="TableItalics"/>
              <w:rPr>
                <w:b/>
                <w:bCs/>
              </w:rPr>
            </w:pPr>
            <w:r>
              <w:br w:type="page"/>
            </w:r>
            <w:r>
              <w:br w:type="page"/>
            </w:r>
            <w:r>
              <w:br w:type="page"/>
            </w:r>
            <w:r>
              <w:br w:type="page"/>
              <w:t xml:space="preserve">Protective Provisions: </w:t>
            </w:r>
          </w:p>
        </w:tc>
        <w:tc>
          <w:tcPr>
            <w:tcW w:w="3415" w:type="pct"/>
            <w:tcBorders>
              <w:top w:val="nil"/>
              <w:left w:val="nil"/>
              <w:bottom w:val="nil"/>
              <w:right w:val="nil"/>
            </w:tcBorders>
          </w:tcPr>
          <w:p w14:paraId="5D061782" w14:textId="530245BC" w:rsidR="00DD2457" w:rsidRDefault="00DD2457" w:rsidP="00FD57EE">
            <w:pPr>
              <w:pStyle w:val="TableText"/>
              <w:rPr>
                <w:b/>
                <w:bCs/>
              </w:rPr>
            </w:pPr>
            <w:r>
              <w:t xml:space="preserve">So long as </w:t>
            </w:r>
            <w:r w:rsidR="00C8767E">
              <w:t>50</w:t>
            </w:r>
            <w:r>
              <w:t xml:space="preserve">% </w:t>
            </w:r>
            <w:r w:rsidR="00C8767E">
              <w:t xml:space="preserve">of the </w:t>
            </w:r>
            <w:r>
              <w:t>shares of Series A Preferred issued in the transaction are outstanding</w:t>
            </w:r>
            <w:r w:rsidRPr="00DC7B51">
              <w:t>,</w:t>
            </w:r>
            <w:r w:rsidRPr="00DB4821">
              <w:t xml:space="preserve"> in addition to any other vote or approval required under the Company’s Charter or Bylaws,</w:t>
            </w:r>
            <w:r w:rsidRPr="00DC6329">
              <w:t xml:space="preserve"> </w:t>
            </w:r>
            <w:r>
              <w:t xml:space="preserve">the Company will not, without the written consent of the Requisite Holders, either directly or by amendment, merger, consolidation, recapitalization, reclassification, or otherwise: </w:t>
            </w:r>
          </w:p>
          <w:p w14:paraId="4DC0B04A" w14:textId="558A130A" w:rsidR="00DD2457" w:rsidRDefault="00DD2457" w:rsidP="00682930">
            <w:pPr>
              <w:spacing w:after="240"/>
              <w:ind w:left="344"/>
              <w:jc w:val="both"/>
              <w:rPr>
                <w:b/>
                <w:bCs/>
              </w:rPr>
            </w:pPr>
            <w:r>
              <w:t>(i) liquidate, dissolve or wind</w:t>
            </w:r>
            <w:r>
              <w:noBreakHyphen/>
              <w:t>up the affairs of the Company or effect any Deemed Liquidation Event; (ii) amend, alter, or repeal any provision of the Charter or Bylaws;</w:t>
            </w:r>
            <w:r>
              <w:rPr>
                <w:vertAlign w:val="superscript"/>
              </w:rPr>
              <w:t xml:space="preserve"> </w:t>
            </w:r>
            <w:r>
              <w:t xml:space="preserve">(iii) create or authorize the creation of or issue any other security convertible into or exercisable for any equity security unless the same ranks junior to the Series A Preferred with respect to its rights, preferences and privileges, or increase the authorized number of shares of Series A Preferred; (iv) sell, issue, sponsor, create or distribute any digital tokens, cryptocurrency or other blockchain-based assets without approval of the Board of Directors, including the Investor Directors; (v) purchase or redeem or pay any dividend on any capital stock prior to the Series A Preferred, other than stock repurchased at cost from former employees and consultants in connection with the cessation of their service, or as otherwise approved by the Board of Directors, including the approval of at least one Preferred Director; or (vi) adopt, amend, terminate or repeal any equity (or equity-linked) compensation plan or amend or waive any of the terms of any option or other grant pursuant to any </w:t>
            </w:r>
            <w:r w:rsidRPr="00E04896">
              <w:t>such plan; (vii) create or authorize the creation of any debt</w:t>
            </w:r>
            <w:r w:rsidRPr="00F43C60">
              <w:t xml:space="preserve"> security, if the </w:t>
            </w:r>
            <w:r w:rsidRPr="00FC2BA6">
              <w:t>aggregate indebtedness of the Corporation</w:t>
            </w:r>
            <w:r>
              <w:t xml:space="preserve"> and its subsidiaries for borrowed money following such action would exceed $</w:t>
            </w:r>
            <w:r w:rsidR="009C5922">
              <w:t>100,000</w:t>
            </w:r>
            <w:r>
              <w:t xml:space="preserve"> other than equipment leases, bank lines of credit or trade payables incurred in the ordinary course unless such debt security has received the prior approval of the Board of Directors, including the approval of at least one Preferred Director; (</w:t>
            </w:r>
            <w:r w:rsidRPr="00DC7B51">
              <w:t>vi</w:t>
            </w:r>
            <w:r>
              <w:t>ii</w:t>
            </w:r>
            <w:r w:rsidRPr="00DB4821">
              <w:t xml:space="preserve">) create or hold capital stock in any subsidiary </w:t>
            </w:r>
            <w:r w:rsidRPr="00DB4821">
              <w:lastRenderedPageBreak/>
              <w:t>that is not wholly-owned</w:t>
            </w:r>
            <w:r>
              <w:t xml:space="preserve">, </w:t>
            </w:r>
            <w:r w:rsidRPr="00DB4821">
              <w:t>or dispose of any subsidiary stock or all or substantially all of any subsidiary assets; or (</w:t>
            </w:r>
            <w:r>
              <w:t>ix</w:t>
            </w:r>
            <w:r w:rsidRPr="00DC7B51">
              <w:t>)</w:t>
            </w:r>
            <w:r>
              <w:t xml:space="preserve"> increase or decrease the authorized number of directors constituting the Board of Directors or change the number of votes entitled to be cast by any director or directors on any matter.</w:t>
            </w:r>
          </w:p>
        </w:tc>
      </w:tr>
      <w:tr w:rsidR="00DD2457" w14:paraId="57FD69AF" w14:textId="77777777" w:rsidTr="00682930">
        <w:tc>
          <w:tcPr>
            <w:tcW w:w="1585" w:type="pct"/>
            <w:tcBorders>
              <w:top w:val="nil"/>
              <w:left w:val="nil"/>
              <w:bottom w:val="nil"/>
              <w:right w:val="nil"/>
            </w:tcBorders>
          </w:tcPr>
          <w:p w14:paraId="209D94E5" w14:textId="77777777" w:rsidR="00DD2457" w:rsidRDefault="00DD2457" w:rsidP="00FD57EE">
            <w:pPr>
              <w:pStyle w:val="TableItalics"/>
            </w:pPr>
            <w:r>
              <w:lastRenderedPageBreak/>
              <w:br w:type="page"/>
              <w:t>Optional Conversion:</w:t>
            </w:r>
          </w:p>
        </w:tc>
        <w:tc>
          <w:tcPr>
            <w:tcW w:w="3415" w:type="pct"/>
            <w:tcBorders>
              <w:top w:val="nil"/>
              <w:left w:val="nil"/>
              <w:bottom w:val="nil"/>
              <w:right w:val="nil"/>
            </w:tcBorders>
          </w:tcPr>
          <w:p w14:paraId="5865E48A" w14:textId="77777777" w:rsidR="00DD2457" w:rsidRDefault="00DD2457" w:rsidP="00FD57EE">
            <w:pPr>
              <w:pStyle w:val="TableText"/>
            </w:pPr>
            <w:r>
              <w:t>The Series A Preferred initially converts 1:1 to Common Stock at any time at option of holder, subject to adjustments for stock dividends, splits, combinations and similar events and as described below under “Anti-dilution Provisions.”</w:t>
            </w:r>
          </w:p>
        </w:tc>
      </w:tr>
      <w:bookmarkStart w:id="34" w:name="Anti_Dilution"/>
      <w:bookmarkEnd w:id="34"/>
      <w:tr w:rsidR="00DD2457" w14:paraId="1908D677" w14:textId="77777777" w:rsidTr="00682930">
        <w:tc>
          <w:tcPr>
            <w:tcW w:w="1585" w:type="pct"/>
            <w:tcBorders>
              <w:top w:val="nil"/>
              <w:left w:val="nil"/>
              <w:bottom w:val="nil"/>
              <w:right w:val="nil"/>
            </w:tcBorders>
          </w:tcPr>
          <w:p w14:paraId="2FCC3977" w14:textId="24745D3F" w:rsidR="00DD2457" w:rsidRDefault="00460C09" w:rsidP="00FD57EE">
            <w:pPr>
              <w:pStyle w:val="TableItalics"/>
            </w:pPr>
            <w:r>
              <w:fldChar w:fldCharType="begin"/>
            </w:r>
            <w:r>
              <w:instrText xml:space="preserve"> HYPERLINK  \l "_Frequency_of_Anti-Dilution" </w:instrText>
            </w:r>
            <w:r>
              <w:fldChar w:fldCharType="separate"/>
            </w:r>
            <w:r w:rsidR="00DD2457" w:rsidRPr="00460C09">
              <w:rPr>
                <w:rStyle w:val="Hyperlink"/>
              </w:rPr>
              <w:t>Anti-dilution Provisions</w:t>
            </w:r>
            <w:r>
              <w:fldChar w:fldCharType="end"/>
            </w:r>
            <w:r w:rsidR="00DD2457">
              <w:t>:</w:t>
            </w:r>
          </w:p>
        </w:tc>
        <w:tc>
          <w:tcPr>
            <w:tcW w:w="3415" w:type="pct"/>
            <w:tcBorders>
              <w:top w:val="nil"/>
              <w:left w:val="nil"/>
              <w:bottom w:val="nil"/>
              <w:right w:val="nil"/>
            </w:tcBorders>
          </w:tcPr>
          <w:p w14:paraId="48C54A5E" w14:textId="77777777" w:rsidR="00DD2457" w:rsidRDefault="00DD2457" w:rsidP="00FD57EE">
            <w:pPr>
              <w:pStyle w:val="TableText"/>
            </w:pPr>
            <w:proofErr w:type="gramStart"/>
            <w:r>
              <w:t>In the event that</w:t>
            </w:r>
            <w:proofErr w:type="gramEnd"/>
            <w:r>
              <w:t xml:space="preserve"> the Company issues additional securities at a purchase price less than the current Series A Preferred conversion price, such conversion price shall be adjusted in accordance with the following formula:</w:t>
            </w:r>
          </w:p>
          <w:p w14:paraId="53C2E492" w14:textId="77777777" w:rsidR="00DD2457" w:rsidRDefault="00DD2457" w:rsidP="00682930">
            <w:pPr>
              <w:spacing w:after="120"/>
              <w:jc w:val="center"/>
            </w:pPr>
            <w:r>
              <w:t>CP</w:t>
            </w:r>
            <w:r>
              <w:rPr>
                <w:vertAlign w:val="subscript"/>
              </w:rPr>
              <w:t>2</w:t>
            </w:r>
            <w:r>
              <w:t xml:space="preserve"> = CP</w:t>
            </w:r>
            <w:r>
              <w:rPr>
                <w:vertAlign w:val="subscript"/>
              </w:rPr>
              <w:t>1</w:t>
            </w:r>
            <w:r>
              <w:t xml:space="preserve"> * (A+B) / (A+C)</w:t>
            </w:r>
          </w:p>
          <w:p w14:paraId="76C78882" w14:textId="77777777" w:rsidR="00DD2457" w:rsidRDefault="00DD2457" w:rsidP="00682930">
            <w:pPr>
              <w:tabs>
                <w:tab w:val="left" w:pos="1242"/>
              </w:tabs>
              <w:ind w:left="1512" w:hanging="792"/>
            </w:pPr>
            <w:r>
              <w:t xml:space="preserve">Where: </w:t>
            </w:r>
          </w:p>
          <w:p w14:paraId="5FCCCA67" w14:textId="77777777" w:rsidR="00DD2457" w:rsidRDefault="00DD2457" w:rsidP="00682930">
            <w:pPr>
              <w:tabs>
                <w:tab w:val="left" w:pos="1242"/>
              </w:tabs>
              <w:ind w:left="1512" w:hanging="792"/>
            </w:pPr>
            <w:r>
              <w:t>CP</w:t>
            </w:r>
            <w:r>
              <w:rPr>
                <w:vertAlign w:val="subscript"/>
              </w:rPr>
              <w:t>2</w:t>
            </w:r>
            <w:r>
              <w:t xml:space="preserve"> </w:t>
            </w:r>
            <w:r>
              <w:tab/>
              <w:t>=</w:t>
            </w:r>
            <w:r>
              <w:tab/>
              <w:t>Series A Conversion Price</w:t>
            </w:r>
            <w:r w:rsidRPr="00DC6329">
              <w:t xml:space="preserve"> in effect immediately after new issue</w:t>
            </w:r>
          </w:p>
          <w:p w14:paraId="4E7DAFE7" w14:textId="77777777" w:rsidR="00DD2457" w:rsidRDefault="00DD2457" w:rsidP="00682930">
            <w:pPr>
              <w:tabs>
                <w:tab w:val="left" w:pos="1242"/>
              </w:tabs>
              <w:ind w:left="1512" w:hanging="792"/>
              <w:jc w:val="both"/>
            </w:pPr>
            <w:r>
              <w:t>CP</w:t>
            </w:r>
            <w:r>
              <w:rPr>
                <w:vertAlign w:val="subscript"/>
              </w:rPr>
              <w:t>1</w:t>
            </w:r>
            <w:r>
              <w:tab/>
              <w:t>=</w:t>
            </w:r>
            <w:r>
              <w:tab/>
              <w:t>Series A Conversion Price in effect immediately prior to new issue</w:t>
            </w:r>
          </w:p>
          <w:p w14:paraId="46D20CA1" w14:textId="6D113C05" w:rsidR="00DD2457" w:rsidRDefault="00DD2457" w:rsidP="00682930">
            <w:pPr>
              <w:keepNext/>
              <w:widowControl w:val="0"/>
              <w:tabs>
                <w:tab w:val="left" w:pos="1242"/>
              </w:tabs>
              <w:ind w:left="1512" w:hanging="792"/>
              <w:jc w:val="both"/>
            </w:pPr>
            <w:r>
              <w:t>A</w:t>
            </w:r>
            <w:r>
              <w:tab/>
              <w:t>=</w:t>
            </w:r>
            <w:r>
              <w:tab/>
              <w:t>Number of shares of Common Stock deemed to be outstanding immediately prior to new issue (includes all shares of outstanding common stock, all shares of outstanding preferred stock on an as-converted basis, and all outstanding options on an as-exercised basis; and does not include any convertible securities converting into this round of financing)</w:t>
            </w:r>
            <w:r w:rsidRPr="00DC6329">
              <w:rPr>
                <w:b/>
              </w:rPr>
              <w:t xml:space="preserve"> </w:t>
            </w:r>
          </w:p>
          <w:p w14:paraId="033B62EB" w14:textId="77777777" w:rsidR="00DD2457" w:rsidRDefault="00DD2457" w:rsidP="00682930">
            <w:pPr>
              <w:keepNext/>
              <w:widowControl w:val="0"/>
              <w:tabs>
                <w:tab w:val="left" w:pos="1242"/>
              </w:tabs>
              <w:ind w:left="1512" w:hanging="792"/>
              <w:jc w:val="both"/>
            </w:pPr>
            <w:r>
              <w:t>B</w:t>
            </w:r>
            <w:r>
              <w:tab/>
              <w:t>=</w:t>
            </w:r>
            <w:r>
              <w:tab/>
              <w:t>Aggregate consideration received by the Company with respect to the new issue divided by CP</w:t>
            </w:r>
            <w:r>
              <w:rPr>
                <w:vertAlign w:val="subscript"/>
              </w:rPr>
              <w:t>1</w:t>
            </w:r>
          </w:p>
          <w:p w14:paraId="184E9077" w14:textId="77777777" w:rsidR="00DD2457" w:rsidRDefault="00DD2457" w:rsidP="008A1E64">
            <w:pPr>
              <w:keepNext/>
              <w:widowControl w:val="0"/>
              <w:tabs>
                <w:tab w:val="left" w:pos="1242"/>
              </w:tabs>
              <w:spacing w:after="240"/>
              <w:ind w:left="1512" w:hanging="792"/>
              <w:jc w:val="both"/>
            </w:pPr>
            <w:r>
              <w:t>C</w:t>
            </w:r>
            <w:r>
              <w:tab/>
              <w:t>=</w:t>
            </w:r>
            <w:r>
              <w:tab/>
              <w:t>Number of shares of stock issued in the subject transaction</w:t>
            </w:r>
          </w:p>
        </w:tc>
      </w:tr>
      <w:tr w:rsidR="00DD2457" w14:paraId="368915A7" w14:textId="77777777" w:rsidTr="00682930">
        <w:tc>
          <w:tcPr>
            <w:tcW w:w="1585" w:type="pct"/>
            <w:tcBorders>
              <w:top w:val="nil"/>
              <w:left w:val="nil"/>
              <w:bottom w:val="nil"/>
              <w:right w:val="nil"/>
            </w:tcBorders>
          </w:tcPr>
          <w:p w14:paraId="03184450" w14:textId="77777777" w:rsidR="00DD2457" w:rsidRDefault="00DD2457" w:rsidP="00682930">
            <w:pPr>
              <w:pStyle w:val="TableTextBU"/>
              <w:keepNext w:val="0"/>
            </w:pPr>
          </w:p>
        </w:tc>
        <w:tc>
          <w:tcPr>
            <w:tcW w:w="3415" w:type="pct"/>
            <w:tcBorders>
              <w:top w:val="nil"/>
              <w:left w:val="nil"/>
              <w:bottom w:val="nil"/>
              <w:right w:val="nil"/>
            </w:tcBorders>
          </w:tcPr>
          <w:p w14:paraId="55016390" w14:textId="77777777" w:rsidR="00DD2457" w:rsidRDefault="00DD2457" w:rsidP="00682930">
            <w:pPr>
              <w:pStyle w:val="TableText"/>
              <w:rPr>
                <w:b/>
                <w:bCs/>
              </w:rPr>
            </w:pPr>
            <w:r>
              <w:t>The foregoing shall be subject to customary exceptions, including, without limitation, the following:</w:t>
            </w:r>
          </w:p>
          <w:p w14:paraId="3155757D" w14:textId="5DED9A5A" w:rsidR="00DD2457" w:rsidRPr="00530B87" w:rsidRDefault="00DD2457" w:rsidP="00682930">
            <w:pPr>
              <w:spacing w:after="240"/>
              <w:ind w:left="344"/>
              <w:jc w:val="both"/>
              <w:rPr>
                <w:b/>
                <w:i/>
              </w:rPr>
            </w:pPr>
            <w:r>
              <w:t xml:space="preserve">(i) securities issuable upon conversion of any of the Series A Preferred, or as a dividend or distribution on the Series A Preferred; (ii) securities issued upon the conversion of any debenture, warrant, option, or other convertible security; (iii) Common Stock issuable upon a stock split, stock dividend, or any subdivision of shares of Common Stock; (iv) shares of Common Stock (or options to purchase such shares of Common Stock) issued or issuable to employees or directors </w:t>
            </w:r>
            <w:r>
              <w:lastRenderedPageBreak/>
              <w:t>of, or consultants to, the Company pursuant to any plan approved by the Company’s Board of Directors including at least one Preferred Director(s), and other customary exceptions</w:t>
            </w:r>
            <w:r w:rsidRPr="00B71D49">
              <w:rPr>
                <w:rStyle w:val="FootnoteReference"/>
                <w:bCs/>
                <w:sz w:val="24"/>
              </w:rPr>
              <w:footnoteReference w:id="4"/>
            </w:r>
            <w:r w:rsidRPr="00530B87">
              <w:t>.</w:t>
            </w:r>
            <w:r>
              <w:t xml:space="preserve"> </w:t>
            </w:r>
          </w:p>
        </w:tc>
      </w:tr>
      <w:tr w:rsidR="00DD2457" w14:paraId="3C9A293B" w14:textId="77777777" w:rsidTr="00682930">
        <w:tc>
          <w:tcPr>
            <w:tcW w:w="1585" w:type="pct"/>
            <w:tcBorders>
              <w:top w:val="nil"/>
              <w:left w:val="nil"/>
              <w:bottom w:val="nil"/>
              <w:right w:val="nil"/>
            </w:tcBorders>
          </w:tcPr>
          <w:p w14:paraId="441067F5" w14:textId="77777777" w:rsidR="00DD2457" w:rsidRDefault="00DD2457" w:rsidP="00FD57EE">
            <w:pPr>
              <w:pStyle w:val="TableItalics"/>
            </w:pPr>
            <w:r>
              <w:lastRenderedPageBreak/>
              <w:t>Mandatory Conversion:</w:t>
            </w:r>
          </w:p>
        </w:tc>
        <w:tc>
          <w:tcPr>
            <w:tcW w:w="3415" w:type="pct"/>
            <w:tcBorders>
              <w:top w:val="nil"/>
              <w:left w:val="nil"/>
              <w:bottom w:val="nil"/>
              <w:right w:val="nil"/>
            </w:tcBorders>
          </w:tcPr>
          <w:p w14:paraId="4470F600" w14:textId="1C3550AA" w:rsidR="00DD2457" w:rsidRPr="00530B87" w:rsidRDefault="00DD2457" w:rsidP="00FD57EE">
            <w:pPr>
              <w:pStyle w:val="TableText"/>
              <w:rPr>
                <w:b/>
                <w:i/>
                <w:vertAlign w:val="superscript"/>
              </w:rPr>
            </w:pPr>
            <w:r>
              <w:t xml:space="preserve">Each share of Series A Preferred will automatically be converted into Common Stock at the then applicable conversion rate in the event of the closing of a firm commitment underwritten public offering with a price of </w:t>
            </w:r>
            <w:r w:rsidR="00D118FF">
              <w:t>five</w:t>
            </w:r>
            <w:r>
              <w:rPr>
                <w:b/>
                <w:bCs/>
              </w:rPr>
              <w:t xml:space="preserve"> </w:t>
            </w:r>
            <w:r>
              <w:t>times the Original Purchase Price (subject to adjustments for stock dividends, splits, combinations and similar events) and gross proceeds to the Company of not less than $</w:t>
            </w:r>
            <w:r w:rsidR="00D118FF">
              <w:t>50 million</w:t>
            </w:r>
            <w:r>
              <w:t xml:space="preserve"> (a “</w:t>
            </w:r>
            <w:r>
              <w:rPr>
                <w:b/>
                <w:bCs/>
              </w:rPr>
              <w:t>QPO</w:t>
            </w:r>
            <w:r>
              <w:t xml:space="preserve">”), or (ii) upon the written consent of the Requisite Holders. </w:t>
            </w:r>
          </w:p>
        </w:tc>
      </w:tr>
      <w:tr w:rsidR="00DD2457" w14:paraId="17E43344" w14:textId="77777777" w:rsidTr="00682930">
        <w:tc>
          <w:tcPr>
            <w:tcW w:w="1585" w:type="pct"/>
            <w:tcBorders>
              <w:top w:val="nil"/>
              <w:left w:val="nil"/>
              <w:bottom w:val="nil"/>
              <w:right w:val="nil"/>
            </w:tcBorders>
          </w:tcPr>
          <w:p w14:paraId="012C7E00" w14:textId="35CE5568" w:rsidR="00DD2457" w:rsidRDefault="00DD2457" w:rsidP="00FD57EE">
            <w:pPr>
              <w:pStyle w:val="TableItalics"/>
            </w:pPr>
            <w:bookmarkStart w:id="35" w:name="Paytoplay"/>
            <w:bookmarkEnd w:id="35"/>
          </w:p>
        </w:tc>
        <w:tc>
          <w:tcPr>
            <w:tcW w:w="3415" w:type="pct"/>
            <w:tcBorders>
              <w:top w:val="nil"/>
              <w:left w:val="nil"/>
              <w:bottom w:val="nil"/>
              <w:right w:val="nil"/>
            </w:tcBorders>
          </w:tcPr>
          <w:p w14:paraId="22EA7701" w14:textId="380F1611" w:rsidR="00DD2457" w:rsidRDefault="00DD2457" w:rsidP="00FD57EE">
            <w:pPr>
              <w:pStyle w:val="TableText"/>
              <w:rPr>
                <w:vertAlign w:val="superscript"/>
              </w:rPr>
            </w:pPr>
          </w:p>
        </w:tc>
      </w:tr>
      <w:tr w:rsidR="00DD2457" w14:paraId="195E4C58" w14:textId="77777777" w:rsidTr="00682930">
        <w:tc>
          <w:tcPr>
            <w:tcW w:w="1585" w:type="pct"/>
            <w:tcBorders>
              <w:top w:val="nil"/>
              <w:left w:val="nil"/>
              <w:bottom w:val="nil"/>
              <w:right w:val="nil"/>
            </w:tcBorders>
          </w:tcPr>
          <w:p w14:paraId="288F64C6" w14:textId="3FAB8936" w:rsidR="00DD2457" w:rsidRDefault="00DD2457" w:rsidP="00FD57EE">
            <w:pPr>
              <w:pStyle w:val="TableItalics"/>
              <w:rPr>
                <w:b/>
                <w:bCs/>
              </w:rPr>
            </w:pPr>
            <w:bookmarkStart w:id="36" w:name="Redemption"/>
            <w:bookmarkEnd w:id="36"/>
            <w:r>
              <w:br w:type="page"/>
            </w:r>
            <w:r>
              <w:br w:type="page"/>
            </w:r>
            <w:hyperlink w:anchor="_Frequency_of_Redemption" w:history="1">
              <w:r w:rsidRPr="00B65E73">
                <w:rPr>
                  <w:rStyle w:val="Hyperlink"/>
                </w:rPr>
                <w:t>Redemption Rights</w:t>
              </w:r>
            </w:hyperlink>
            <w:r>
              <w:t>:</w:t>
            </w:r>
            <w:r w:rsidRPr="003040F8">
              <w:t xml:space="preserve"> </w:t>
            </w:r>
          </w:p>
        </w:tc>
        <w:tc>
          <w:tcPr>
            <w:tcW w:w="3415" w:type="pct"/>
            <w:tcBorders>
              <w:top w:val="nil"/>
              <w:left w:val="nil"/>
              <w:bottom w:val="nil"/>
              <w:right w:val="nil"/>
            </w:tcBorders>
          </w:tcPr>
          <w:p w14:paraId="2019D071" w14:textId="14D98923" w:rsidR="00DD2457" w:rsidRDefault="00DD2457" w:rsidP="00FD57EE">
            <w:pPr>
              <w:pStyle w:val="TableText"/>
              <w:rPr>
                <w:b/>
                <w:bCs/>
              </w:rPr>
            </w:pPr>
            <w:r>
              <w:t xml:space="preserve">Unless prohibited by applicable law governing distributions to stockholders, the Series A Preferred shall be redeemable at the option of the Requisite Holders commencing any time after </w:t>
            </w:r>
            <w:r w:rsidRPr="007C7486">
              <w:t xml:space="preserve">the </w:t>
            </w:r>
            <w:proofErr w:type="gramStart"/>
            <w:r w:rsidRPr="007C7486">
              <w:t>five year</w:t>
            </w:r>
            <w:proofErr w:type="gramEnd"/>
            <w:r w:rsidRPr="007C7486">
              <w:t xml:space="preserve"> anniversary of the Closing</w:t>
            </w:r>
            <w:r>
              <w:t xml:space="preserve"> at a price equal to the Original Purchase Price plus all declared but unpaid dividends.  Redemption shall occur in three equal annual portions.  Upon a redemption request from the holders of the required percentage of the Series A Preferred, all Series A Preferred shares shall be redeemed (except for any Series A holders who affirmatively opt-out). </w:t>
            </w:r>
          </w:p>
        </w:tc>
      </w:tr>
      <w:tr w:rsidR="00DD2457" w14:paraId="07926335" w14:textId="77777777" w:rsidTr="00682930">
        <w:tc>
          <w:tcPr>
            <w:tcW w:w="5000" w:type="pct"/>
            <w:gridSpan w:val="2"/>
            <w:tcBorders>
              <w:top w:val="nil"/>
              <w:left w:val="nil"/>
              <w:bottom w:val="nil"/>
              <w:right w:val="nil"/>
            </w:tcBorders>
          </w:tcPr>
          <w:p w14:paraId="51A37A29" w14:textId="77777777" w:rsidR="00DD2457" w:rsidRDefault="00DD2457" w:rsidP="00FD57EE">
            <w:pPr>
              <w:pStyle w:val="TableTextBU"/>
            </w:pPr>
            <w:r>
              <w:t>STOCK PURCHASE AGREEMENT</w:t>
            </w:r>
          </w:p>
        </w:tc>
      </w:tr>
      <w:tr w:rsidR="00DD2457" w14:paraId="5BE7B44F" w14:textId="77777777" w:rsidTr="00682930">
        <w:tc>
          <w:tcPr>
            <w:tcW w:w="1585" w:type="pct"/>
            <w:tcBorders>
              <w:top w:val="nil"/>
              <w:left w:val="nil"/>
              <w:bottom w:val="nil"/>
              <w:right w:val="nil"/>
            </w:tcBorders>
          </w:tcPr>
          <w:p w14:paraId="15F49E0E" w14:textId="77777777" w:rsidR="00DD2457" w:rsidRDefault="00DD2457" w:rsidP="00FD57EE">
            <w:pPr>
              <w:pStyle w:val="TableItalics"/>
            </w:pPr>
            <w:r>
              <w:t>Representations and Warranties:</w:t>
            </w:r>
          </w:p>
        </w:tc>
        <w:tc>
          <w:tcPr>
            <w:tcW w:w="3415" w:type="pct"/>
            <w:tcBorders>
              <w:top w:val="nil"/>
              <w:left w:val="nil"/>
              <w:bottom w:val="nil"/>
              <w:right w:val="nil"/>
            </w:tcBorders>
          </w:tcPr>
          <w:p w14:paraId="64604298" w14:textId="77777777" w:rsidR="00DD2457" w:rsidRPr="00241B31" w:rsidRDefault="00DD2457" w:rsidP="00FD57EE">
            <w:pPr>
              <w:pStyle w:val="TableText"/>
            </w:pPr>
            <w:r>
              <w:t>Standard representations and warranties by the Company customary for its size and industry.  [Representations and warranties regarding CFIUS.]</w:t>
            </w:r>
            <w:r w:rsidRPr="00B71D49">
              <w:rPr>
                <w:rStyle w:val="FootnoteReference"/>
                <w:sz w:val="24"/>
              </w:rPr>
              <w:footnoteReference w:id="5"/>
            </w:r>
          </w:p>
        </w:tc>
      </w:tr>
      <w:tr w:rsidR="00DD2457" w14:paraId="6BA98F39" w14:textId="77777777" w:rsidTr="00682930">
        <w:tc>
          <w:tcPr>
            <w:tcW w:w="1585" w:type="pct"/>
            <w:tcBorders>
              <w:top w:val="nil"/>
              <w:left w:val="nil"/>
              <w:bottom w:val="nil"/>
              <w:right w:val="nil"/>
            </w:tcBorders>
          </w:tcPr>
          <w:p w14:paraId="62FD1489" w14:textId="77777777" w:rsidR="00DD2457" w:rsidRDefault="00DD2457" w:rsidP="00FD57EE">
            <w:pPr>
              <w:pStyle w:val="TableItalics"/>
            </w:pPr>
            <w:r w:rsidRPr="00B90E7E">
              <w:t>[</w:t>
            </w:r>
            <w:r>
              <w:t>Regulatory Covenants (CFIUS):</w:t>
            </w:r>
          </w:p>
        </w:tc>
        <w:tc>
          <w:tcPr>
            <w:tcW w:w="3415" w:type="pct"/>
            <w:tcBorders>
              <w:top w:val="nil"/>
              <w:left w:val="nil"/>
              <w:bottom w:val="nil"/>
              <w:right w:val="nil"/>
            </w:tcBorders>
          </w:tcPr>
          <w:p w14:paraId="2209C3CF" w14:textId="77907D50" w:rsidR="00DD2457" w:rsidRDefault="00DD2457" w:rsidP="00FD57EE">
            <w:pPr>
              <w:pStyle w:val="TableText"/>
            </w:pPr>
            <w:r w:rsidRPr="00130795">
              <w:rPr>
                <w:i/>
              </w:rPr>
              <w:t xml:space="preserve">To the extent </w:t>
            </w:r>
            <w:r>
              <w:rPr>
                <w:i/>
              </w:rPr>
              <w:t>a CFIUS filing is or may be required</w:t>
            </w:r>
            <w:r w:rsidRPr="00130795">
              <w:rPr>
                <w:i/>
              </w:rPr>
              <w:t xml:space="preserve">: </w:t>
            </w:r>
            <w:r>
              <w:t xml:space="preserve">Investors and the Company shall use reasonable best efforts to submit the proposed transaction to the </w:t>
            </w:r>
            <w:r w:rsidRPr="00A80A0D">
              <w:t xml:space="preserve">Committee on Foreign Investment in the United States </w:t>
            </w:r>
            <w:r>
              <w:t>(“</w:t>
            </w:r>
            <w:r w:rsidRPr="00A80A0D">
              <w:rPr>
                <w:b/>
              </w:rPr>
              <w:t>CFIUS</w:t>
            </w:r>
            <w:r>
              <w:t>”) and obtain CFIUS clearance or a statement from CFIUS that no further review is necessary with respect to the parties’ [notice/declaration]].</w:t>
            </w:r>
          </w:p>
        </w:tc>
      </w:tr>
      <w:tr w:rsidR="00DD2457" w14:paraId="5C8950C3" w14:textId="77777777" w:rsidTr="00682930">
        <w:tc>
          <w:tcPr>
            <w:tcW w:w="1585" w:type="pct"/>
            <w:tcBorders>
              <w:top w:val="nil"/>
              <w:left w:val="nil"/>
              <w:bottom w:val="nil"/>
              <w:right w:val="nil"/>
            </w:tcBorders>
          </w:tcPr>
          <w:p w14:paraId="62E8724B" w14:textId="24E3EE4D" w:rsidR="00DD2457" w:rsidRDefault="00DD2457" w:rsidP="00FD57EE">
            <w:pPr>
              <w:pStyle w:val="TableItalics"/>
            </w:pPr>
            <w:bookmarkStart w:id="37" w:name="Counsel"/>
            <w:bookmarkEnd w:id="37"/>
            <w:r>
              <w:lastRenderedPageBreak/>
              <w:br w:type="page"/>
            </w:r>
            <w:r>
              <w:br w:type="page"/>
            </w:r>
            <w:r>
              <w:br w:type="page"/>
            </w:r>
            <w:hyperlink w:anchor="_Median_Lead_Investor" w:history="1">
              <w:r w:rsidRPr="00E76271">
                <w:rPr>
                  <w:rStyle w:val="Hyperlink"/>
                </w:rPr>
                <w:t>Counsel and Expenses</w:t>
              </w:r>
            </w:hyperlink>
            <w:r>
              <w:t>:</w:t>
            </w:r>
          </w:p>
        </w:tc>
        <w:tc>
          <w:tcPr>
            <w:tcW w:w="3415" w:type="pct"/>
            <w:tcBorders>
              <w:top w:val="nil"/>
              <w:left w:val="nil"/>
              <w:bottom w:val="nil"/>
              <w:right w:val="nil"/>
            </w:tcBorders>
          </w:tcPr>
          <w:p w14:paraId="0A75995E" w14:textId="21ECDE65" w:rsidR="00DD2457" w:rsidRDefault="00DD2457" w:rsidP="00FD57EE">
            <w:pPr>
              <w:pStyle w:val="TableText"/>
              <w:rPr>
                <w:u w:val="single"/>
              </w:rPr>
            </w:pPr>
            <w:r>
              <w:t>Company counsel to draft applicable documents.  Company to pay all legal and administrative costs of the financing [at Closing], including (subject to the Closing) reasonable fees (not to exceed $</w:t>
            </w:r>
            <w:r w:rsidR="00D54926">
              <w:t>30,000</w:t>
            </w:r>
            <w:r>
              <w:t xml:space="preserve">) and expenses of Investor counsel. </w:t>
            </w:r>
          </w:p>
        </w:tc>
      </w:tr>
      <w:tr w:rsidR="00DD2457" w14:paraId="710972B9" w14:textId="77777777" w:rsidTr="00682930">
        <w:tc>
          <w:tcPr>
            <w:tcW w:w="5000" w:type="pct"/>
            <w:gridSpan w:val="2"/>
            <w:tcBorders>
              <w:top w:val="nil"/>
              <w:left w:val="nil"/>
              <w:bottom w:val="nil"/>
              <w:right w:val="nil"/>
            </w:tcBorders>
          </w:tcPr>
          <w:p w14:paraId="1AEC29BA" w14:textId="77777777" w:rsidR="00DD2457" w:rsidRDefault="00DD2457" w:rsidP="000C50A0">
            <w:pPr>
              <w:pStyle w:val="TableTextBU"/>
            </w:pPr>
            <w:r>
              <w:br w:type="page"/>
              <w:t>INVESTORS’ RIGHTS AGREEMENT</w:t>
            </w:r>
          </w:p>
        </w:tc>
      </w:tr>
      <w:bookmarkStart w:id="38" w:name="Registration"/>
      <w:bookmarkEnd w:id="38"/>
      <w:tr w:rsidR="00DD2457" w14:paraId="08E29550" w14:textId="77777777" w:rsidTr="00682930">
        <w:tc>
          <w:tcPr>
            <w:tcW w:w="1585" w:type="pct"/>
            <w:tcBorders>
              <w:top w:val="nil"/>
              <w:left w:val="nil"/>
              <w:bottom w:val="nil"/>
              <w:right w:val="nil"/>
            </w:tcBorders>
          </w:tcPr>
          <w:p w14:paraId="12831F37" w14:textId="7329AC91" w:rsidR="00DD2457" w:rsidRPr="00682930" w:rsidRDefault="00E76271" w:rsidP="00682930">
            <w:pPr>
              <w:pStyle w:val="TableItalics"/>
            </w:pPr>
            <w:r>
              <w:fldChar w:fldCharType="begin"/>
            </w:r>
            <w:r>
              <w:instrText xml:space="preserve"> HYPERLINK  \l "_Frequency_of_Registration" </w:instrText>
            </w:r>
            <w:r>
              <w:fldChar w:fldCharType="separate"/>
            </w:r>
            <w:r w:rsidR="00DD2457" w:rsidRPr="00E76271">
              <w:rPr>
                <w:rStyle w:val="Hyperlink"/>
              </w:rPr>
              <w:t>Registration Rights</w:t>
            </w:r>
            <w:r>
              <w:fldChar w:fldCharType="end"/>
            </w:r>
            <w:r w:rsidR="00DD2457" w:rsidRPr="00682930">
              <w:t>:</w:t>
            </w:r>
          </w:p>
        </w:tc>
        <w:tc>
          <w:tcPr>
            <w:tcW w:w="3415" w:type="pct"/>
            <w:tcBorders>
              <w:top w:val="nil"/>
              <w:left w:val="nil"/>
              <w:bottom w:val="nil"/>
              <w:right w:val="nil"/>
            </w:tcBorders>
          </w:tcPr>
          <w:p w14:paraId="4B514C22" w14:textId="77777777" w:rsidR="00DD2457" w:rsidRDefault="00DD2457" w:rsidP="00FD57EE">
            <w:pPr>
              <w:pStyle w:val="TableText"/>
            </w:pPr>
          </w:p>
        </w:tc>
      </w:tr>
      <w:tr w:rsidR="00DD2457" w14:paraId="39650DD2" w14:textId="77777777" w:rsidTr="00682930">
        <w:tc>
          <w:tcPr>
            <w:tcW w:w="1585" w:type="pct"/>
            <w:tcBorders>
              <w:top w:val="nil"/>
              <w:left w:val="nil"/>
              <w:bottom w:val="nil"/>
              <w:right w:val="nil"/>
            </w:tcBorders>
          </w:tcPr>
          <w:p w14:paraId="7786D32F" w14:textId="77777777" w:rsidR="00DD2457" w:rsidRDefault="00DD2457" w:rsidP="00682930">
            <w:pPr>
              <w:pStyle w:val="TableItalicsIndent"/>
            </w:pPr>
            <w:r>
              <w:t>Registrable Securities:</w:t>
            </w:r>
          </w:p>
        </w:tc>
        <w:tc>
          <w:tcPr>
            <w:tcW w:w="3415" w:type="pct"/>
            <w:tcBorders>
              <w:top w:val="nil"/>
              <w:left w:val="nil"/>
              <w:bottom w:val="nil"/>
              <w:right w:val="nil"/>
            </w:tcBorders>
          </w:tcPr>
          <w:p w14:paraId="0A60A9F7" w14:textId="2533BDFC" w:rsidR="00DD2457" w:rsidRDefault="00DD2457" w:rsidP="00FD57EE">
            <w:pPr>
              <w:pStyle w:val="TableText"/>
              <w:rPr>
                <w:vertAlign w:val="superscript"/>
              </w:rPr>
            </w:pPr>
            <w:r>
              <w:t>All shares of Common Stock issuable upon conversion of the Series A Preferred and any other Common Stock held by the Investors will be deemed “</w:t>
            </w:r>
            <w:r>
              <w:rPr>
                <w:b/>
                <w:bCs/>
              </w:rPr>
              <w:t>Registrable Securities</w:t>
            </w:r>
            <w:r>
              <w:t>.”</w:t>
            </w:r>
          </w:p>
        </w:tc>
      </w:tr>
      <w:tr w:rsidR="00DD2457" w14:paraId="35A309C8" w14:textId="77777777" w:rsidTr="00682930">
        <w:tc>
          <w:tcPr>
            <w:tcW w:w="1585" w:type="pct"/>
            <w:tcBorders>
              <w:top w:val="nil"/>
              <w:left w:val="nil"/>
              <w:bottom w:val="nil"/>
              <w:right w:val="nil"/>
            </w:tcBorders>
          </w:tcPr>
          <w:p w14:paraId="74D007C1" w14:textId="77777777" w:rsidR="00DD2457" w:rsidRDefault="00DD2457" w:rsidP="00682930">
            <w:pPr>
              <w:pStyle w:val="TableItalicsIndent"/>
            </w:pPr>
            <w:r>
              <w:br w:type="page"/>
            </w:r>
            <w:r>
              <w:br w:type="page"/>
              <w:t>Demand Registration:</w:t>
            </w:r>
          </w:p>
        </w:tc>
        <w:tc>
          <w:tcPr>
            <w:tcW w:w="3415" w:type="pct"/>
            <w:tcBorders>
              <w:top w:val="nil"/>
              <w:left w:val="nil"/>
              <w:bottom w:val="nil"/>
              <w:right w:val="nil"/>
            </w:tcBorders>
          </w:tcPr>
          <w:p w14:paraId="6BC6687A" w14:textId="6656A759" w:rsidR="00DD2457" w:rsidRDefault="00DD2457" w:rsidP="00FD57EE">
            <w:pPr>
              <w:pStyle w:val="TableText"/>
            </w:pPr>
            <w:r>
              <w:t>Upon earliest of (i) five years after the Closing; or (ii) six months following an initial public offering (“</w:t>
            </w:r>
            <w:r>
              <w:rPr>
                <w:b/>
                <w:bCs/>
              </w:rPr>
              <w:t>IPO</w:t>
            </w:r>
            <w:r>
              <w:t xml:space="preserve">”), persons holding </w:t>
            </w:r>
            <w:r w:rsidR="00F928AF">
              <w:t>a majority</w:t>
            </w:r>
            <w:r w:rsidR="00A8700E">
              <w:t xml:space="preserve"> </w:t>
            </w:r>
            <w:r>
              <w:t>of the Registrable Securities may request one (consummated) registrations by the Company of their shares.  The aggregate offering price for such registration may not be less than $</w:t>
            </w:r>
            <w:r w:rsidR="00A66191">
              <w:t>2</w:t>
            </w:r>
            <w:r w:rsidRPr="003A7E38">
              <w:t>5</w:t>
            </w:r>
            <w:r>
              <w:t xml:space="preserve"> million.  A registration will count for this purpose only if (i) all Registrable Securities requested to be registered are registered, and (ii) it is closed, or withdrawn at the request of the Investors (other than as a result of a material adverse change to the Company).  </w:t>
            </w:r>
          </w:p>
        </w:tc>
      </w:tr>
      <w:tr w:rsidR="00DD2457" w14:paraId="732975DB" w14:textId="77777777" w:rsidTr="00682930">
        <w:tc>
          <w:tcPr>
            <w:tcW w:w="1585" w:type="pct"/>
            <w:tcBorders>
              <w:top w:val="nil"/>
              <w:left w:val="nil"/>
              <w:bottom w:val="nil"/>
              <w:right w:val="nil"/>
            </w:tcBorders>
          </w:tcPr>
          <w:p w14:paraId="4ABB0211" w14:textId="77777777" w:rsidR="00DD2457" w:rsidRDefault="00DD2457" w:rsidP="00682930">
            <w:pPr>
              <w:pStyle w:val="TableItalicsIndent"/>
            </w:pPr>
            <w:r>
              <w:t>Registration on Form S-3:</w:t>
            </w:r>
          </w:p>
        </w:tc>
        <w:tc>
          <w:tcPr>
            <w:tcW w:w="3415" w:type="pct"/>
            <w:tcBorders>
              <w:top w:val="nil"/>
              <w:left w:val="nil"/>
              <w:bottom w:val="nil"/>
              <w:right w:val="nil"/>
            </w:tcBorders>
          </w:tcPr>
          <w:p w14:paraId="034B19CD" w14:textId="131D8B44" w:rsidR="00DD2457" w:rsidRDefault="00DD2457" w:rsidP="00FD57EE">
            <w:pPr>
              <w:pStyle w:val="TableText"/>
            </w:pPr>
            <w:r>
              <w:t xml:space="preserve">The holders of </w:t>
            </w:r>
            <w:r w:rsidR="003A2617">
              <w:t>20</w:t>
            </w:r>
            <w:r>
              <w:t xml:space="preserve">% of the Registrable Securities will have the right to require the Company to register on Form S-3, if available for use by the Company, Registrable Securities for an aggregate offering price of at least $5 million.  There will be no limit on the aggregate number of such Form S-3 registrations, </w:t>
            </w:r>
            <w:r w:rsidRPr="00B71D49">
              <w:rPr>
                <w:u w:val="single"/>
              </w:rPr>
              <w:t>provided</w:t>
            </w:r>
            <w:r>
              <w:t xml:space="preserve"> </w:t>
            </w:r>
            <w:r w:rsidRPr="00D02D84">
              <w:t>that</w:t>
            </w:r>
            <w:r>
              <w:t xml:space="preserve"> there are no more than two per 12 month period.</w:t>
            </w:r>
          </w:p>
        </w:tc>
      </w:tr>
      <w:tr w:rsidR="00DD2457" w14:paraId="4A5A9281" w14:textId="77777777" w:rsidTr="00682930">
        <w:tc>
          <w:tcPr>
            <w:tcW w:w="1585" w:type="pct"/>
            <w:tcBorders>
              <w:top w:val="nil"/>
              <w:left w:val="nil"/>
              <w:bottom w:val="nil"/>
              <w:right w:val="nil"/>
            </w:tcBorders>
          </w:tcPr>
          <w:p w14:paraId="189B4F18" w14:textId="77777777" w:rsidR="00DD2457" w:rsidRDefault="00DD2457" w:rsidP="00682930">
            <w:pPr>
              <w:pStyle w:val="TableItalicsIndent"/>
            </w:pPr>
            <w:r>
              <w:br w:type="page"/>
              <w:t>Piggyback Registration:</w:t>
            </w:r>
          </w:p>
        </w:tc>
        <w:tc>
          <w:tcPr>
            <w:tcW w:w="3415" w:type="pct"/>
            <w:tcBorders>
              <w:top w:val="nil"/>
              <w:left w:val="nil"/>
              <w:bottom w:val="nil"/>
              <w:right w:val="nil"/>
            </w:tcBorders>
          </w:tcPr>
          <w:p w14:paraId="193611EE" w14:textId="08BB8F8D" w:rsidR="00DD2457" w:rsidRDefault="00DD2457" w:rsidP="008A1E64">
            <w:pPr>
              <w:pStyle w:val="TableText"/>
            </w:pPr>
            <w:r>
              <w:t xml:space="preserve">The holders of Registrable Securities will be entitled to “piggyback” registration rights on all registration statements of the Company, subject to the right, however, of the Company and its underwriters to reduce the number of shares proposed to be registered to a minimum of 30% on a pro rata basis and to complete reduction on an IPO at the underwriter’s discretion.  In all events, the shares to be registered by holders of Registrable Securities will be reduced only after all other stockholders’ shares are reduced.  </w:t>
            </w:r>
          </w:p>
        </w:tc>
      </w:tr>
      <w:tr w:rsidR="00DD2457" w14:paraId="176916C5" w14:textId="77777777" w:rsidTr="00682930">
        <w:tc>
          <w:tcPr>
            <w:tcW w:w="1585" w:type="pct"/>
            <w:tcBorders>
              <w:top w:val="nil"/>
              <w:left w:val="nil"/>
              <w:bottom w:val="nil"/>
              <w:right w:val="nil"/>
            </w:tcBorders>
          </w:tcPr>
          <w:p w14:paraId="0FB33DCD" w14:textId="77777777" w:rsidR="00DD2457" w:rsidRDefault="00DD2457" w:rsidP="00682930">
            <w:pPr>
              <w:pStyle w:val="TableItalicsIndent"/>
            </w:pPr>
            <w:r>
              <w:t>Expenses:</w:t>
            </w:r>
          </w:p>
        </w:tc>
        <w:tc>
          <w:tcPr>
            <w:tcW w:w="3415" w:type="pct"/>
            <w:tcBorders>
              <w:top w:val="nil"/>
              <w:left w:val="nil"/>
              <w:bottom w:val="nil"/>
              <w:right w:val="nil"/>
            </w:tcBorders>
          </w:tcPr>
          <w:p w14:paraId="6A569A44" w14:textId="539B53E5" w:rsidR="00DD2457" w:rsidRDefault="00DD2457" w:rsidP="00FD57EE">
            <w:pPr>
              <w:pStyle w:val="TableText"/>
            </w:pPr>
            <w:r>
              <w:t>The registration expenses (exclusive of stock transfer taxes, underwriting discounts and commissions will be borne by the Company.  The Company will also pay the reasonable fees and expenses, not to exceed $</w:t>
            </w:r>
            <w:r w:rsidR="00A66191">
              <w:t>10</w:t>
            </w:r>
            <w:r w:rsidR="00E15620">
              <w:t>0,000</w:t>
            </w:r>
            <w:r>
              <w:t xml:space="preserve"> per registration, of one special counsel to represent all the participating stockholders.  </w:t>
            </w:r>
          </w:p>
        </w:tc>
      </w:tr>
      <w:tr w:rsidR="00DD2457" w14:paraId="7D6D6948" w14:textId="77777777" w:rsidTr="00682930">
        <w:tc>
          <w:tcPr>
            <w:tcW w:w="1585" w:type="pct"/>
            <w:tcBorders>
              <w:top w:val="nil"/>
              <w:left w:val="nil"/>
              <w:bottom w:val="nil"/>
              <w:right w:val="nil"/>
            </w:tcBorders>
          </w:tcPr>
          <w:p w14:paraId="359B44E8" w14:textId="77777777" w:rsidR="00DD2457" w:rsidRDefault="00DD2457" w:rsidP="00682930">
            <w:pPr>
              <w:pStyle w:val="TableItalicsIndent"/>
            </w:pPr>
            <w:r>
              <w:t>Lock-up:</w:t>
            </w:r>
          </w:p>
        </w:tc>
        <w:tc>
          <w:tcPr>
            <w:tcW w:w="3415" w:type="pct"/>
            <w:tcBorders>
              <w:top w:val="nil"/>
              <w:left w:val="nil"/>
              <w:bottom w:val="nil"/>
              <w:right w:val="nil"/>
            </w:tcBorders>
          </w:tcPr>
          <w:p w14:paraId="20AF3ABF" w14:textId="1599D84A" w:rsidR="00DD2457" w:rsidRDefault="00DD2457" w:rsidP="00FD57EE">
            <w:pPr>
              <w:pStyle w:val="TableText"/>
            </w:pPr>
            <w:r>
              <w:t xml:space="preserve">Investors shall agree in connection with the IPO, if requested by the managing underwriter, not to sell or transfer any shares of </w:t>
            </w:r>
            <w:r>
              <w:lastRenderedPageBreak/>
              <w:t xml:space="preserve">Common Stock of the Company held immediately before the effective date of the IPO for a period of up to 180 days following the IPO (provided all directors and officers of the Company and </w:t>
            </w:r>
            <w:r w:rsidR="00E15620">
              <w:t>2</w:t>
            </w:r>
            <w:r>
              <w:t>% stockholders agree to the same lock-up).  Such lock-up agreement shall provide that any discretionary waiver or termination of the restrictions of such agreements by the Company or representatives of the underwriters shall apply to Investors, pro rata, based on the number of shares held.</w:t>
            </w:r>
          </w:p>
        </w:tc>
      </w:tr>
      <w:tr w:rsidR="00DD2457" w14:paraId="41B09EC9" w14:textId="77777777" w:rsidTr="00682930">
        <w:tc>
          <w:tcPr>
            <w:tcW w:w="1585" w:type="pct"/>
            <w:tcBorders>
              <w:top w:val="nil"/>
              <w:left w:val="nil"/>
              <w:bottom w:val="nil"/>
              <w:right w:val="nil"/>
            </w:tcBorders>
          </w:tcPr>
          <w:p w14:paraId="696CDC53" w14:textId="77777777" w:rsidR="00DD2457" w:rsidRDefault="00DD2457" w:rsidP="00682930">
            <w:pPr>
              <w:pStyle w:val="TableItalicsIndent"/>
            </w:pPr>
            <w:r>
              <w:lastRenderedPageBreak/>
              <w:br w:type="page"/>
              <w:t>Termination:</w:t>
            </w:r>
          </w:p>
        </w:tc>
        <w:tc>
          <w:tcPr>
            <w:tcW w:w="3415" w:type="pct"/>
            <w:tcBorders>
              <w:top w:val="nil"/>
              <w:left w:val="nil"/>
              <w:bottom w:val="nil"/>
              <w:right w:val="nil"/>
            </w:tcBorders>
          </w:tcPr>
          <w:p w14:paraId="104D4F05" w14:textId="17880504" w:rsidR="00DD2457" w:rsidRDefault="00DD2457" w:rsidP="00FD57EE">
            <w:pPr>
              <w:pStyle w:val="TableText"/>
            </w:pPr>
            <w:r w:rsidRPr="003A7E38">
              <w:t>Upon</w:t>
            </w:r>
            <w:r>
              <w:t xml:space="preserve"> a Deemed Liquidation Even</w:t>
            </w:r>
            <w:r w:rsidRPr="00662DB6">
              <w:t>t</w:t>
            </w:r>
            <w:r>
              <w:t xml:space="preserve"> in which similar rights are granted or the consideration payable to Investors consists of cash or securities of a class listed on a national exchange</w:t>
            </w:r>
            <w:r w:rsidR="006236A6">
              <w:t xml:space="preserve"> </w:t>
            </w:r>
            <w:r w:rsidRPr="00FD57EE">
              <w:rPr>
                <w:bCs/>
              </w:rPr>
              <w:t>and/</w:t>
            </w:r>
            <w:r>
              <w:t xml:space="preserve">or </w:t>
            </w:r>
            <w:r w:rsidRPr="00FD57EE">
              <w:rPr>
                <w:bCs/>
              </w:rPr>
              <w:t>after the IPO, when the Investor and its Rule 144 affiliates holds less than 1% of the Company</w:t>
            </w:r>
            <w:r>
              <w:rPr>
                <w:bCs/>
              </w:rPr>
              <w:t>’</w:t>
            </w:r>
            <w:r w:rsidRPr="00FD57EE">
              <w:rPr>
                <w:bCs/>
              </w:rPr>
              <w:t>s stock and</w:t>
            </w:r>
            <w:r>
              <w:t xml:space="preserve"> all shares of an Investor are eligible to be sold without restriction under Rule 144 </w:t>
            </w:r>
            <w:r w:rsidRPr="003A7E38">
              <w:t xml:space="preserve">and/or </w:t>
            </w:r>
            <w:r w:rsidR="006236A6">
              <w:t>t</w:t>
            </w:r>
            <w:r w:rsidRPr="003A7E38">
              <w:t xml:space="preserve">he </w:t>
            </w:r>
            <w:r>
              <w:t>third</w:t>
            </w:r>
            <w:r w:rsidRPr="003A7E38">
              <w:t xml:space="preserve"> anniversary of the IPO</w:t>
            </w:r>
            <w:r w:rsidRPr="003A7E38">
              <w:rPr>
                <w:b/>
              </w:rPr>
              <w:t>.</w:t>
            </w:r>
          </w:p>
          <w:p w14:paraId="00DD37C1" w14:textId="0970BDA3" w:rsidR="00DD2457" w:rsidRDefault="00DD2457" w:rsidP="00FD57EE">
            <w:pPr>
              <w:pStyle w:val="TableText"/>
            </w:pPr>
            <w:r>
              <w:t>No future registration rights may be granted without consent of the holders of a</w:t>
            </w:r>
            <w:r>
              <w:rPr>
                <w:b/>
                <w:bCs/>
              </w:rPr>
              <w:t xml:space="preserve"> </w:t>
            </w:r>
            <w:r>
              <w:t>majority of the Registrable Securities unless subordinate to the Investor’s rights.</w:t>
            </w:r>
          </w:p>
        </w:tc>
      </w:tr>
      <w:bookmarkStart w:id="39" w:name="Management"/>
      <w:bookmarkEnd w:id="39"/>
      <w:tr w:rsidR="00DD2457" w14:paraId="7159AAE8" w14:textId="77777777" w:rsidTr="00682930">
        <w:tc>
          <w:tcPr>
            <w:tcW w:w="1585" w:type="pct"/>
            <w:tcBorders>
              <w:top w:val="nil"/>
              <w:left w:val="nil"/>
              <w:bottom w:val="nil"/>
              <w:right w:val="nil"/>
            </w:tcBorders>
          </w:tcPr>
          <w:p w14:paraId="2FC85D4A" w14:textId="21ED9A9E" w:rsidR="00DD2457" w:rsidRDefault="00E76271" w:rsidP="00FD57EE">
            <w:pPr>
              <w:pStyle w:val="TableItalics"/>
            </w:pPr>
            <w:r>
              <w:fldChar w:fldCharType="begin"/>
            </w:r>
            <w:r>
              <w:instrText xml:space="preserve"> HYPERLINK  \l "_Median_Major_Investor" </w:instrText>
            </w:r>
            <w:r>
              <w:fldChar w:fldCharType="separate"/>
            </w:r>
            <w:r w:rsidR="00DD2457" w:rsidRPr="00E76271">
              <w:rPr>
                <w:rStyle w:val="Hyperlink"/>
              </w:rPr>
              <w:t>Management and Information Rights</w:t>
            </w:r>
            <w:r>
              <w:fldChar w:fldCharType="end"/>
            </w:r>
            <w:r w:rsidR="00DD2457">
              <w:t xml:space="preserve">: </w:t>
            </w:r>
          </w:p>
        </w:tc>
        <w:tc>
          <w:tcPr>
            <w:tcW w:w="3415" w:type="pct"/>
            <w:tcBorders>
              <w:top w:val="nil"/>
              <w:left w:val="nil"/>
              <w:bottom w:val="nil"/>
              <w:right w:val="nil"/>
            </w:tcBorders>
          </w:tcPr>
          <w:p w14:paraId="34AF9DC6" w14:textId="07ED4B68" w:rsidR="00DD2457" w:rsidRDefault="00DD2457" w:rsidP="00FD57EE">
            <w:pPr>
              <w:pStyle w:val="TableText"/>
            </w:pPr>
            <w:r>
              <w:t>A Management Rights letter from the Company, in a form reasonably acceptable to the Investors, will be delivered prior to Closing to each Investor that requires one.</w:t>
            </w:r>
          </w:p>
          <w:p w14:paraId="5044901E" w14:textId="44198955" w:rsidR="00DD2457" w:rsidRDefault="00DD2457" w:rsidP="00FD57EE">
            <w:pPr>
              <w:pStyle w:val="TableText"/>
            </w:pPr>
            <w:r>
              <w:t xml:space="preserve">Any Major Investor (who is not a competitor) will be granted access to Company facilities and personnel during normal business hours and with reasonable advance notification.  The Company will deliver to such Major Investor (i) annual, </w:t>
            </w:r>
            <w:r w:rsidR="00F5424E">
              <w:t xml:space="preserve">and </w:t>
            </w:r>
            <w:r>
              <w:t>quarterly financial statements, and other information as determined by the Board of Directors</w:t>
            </w:r>
            <w:r w:rsidRPr="00F43C60">
              <w:t>; and (ii</w:t>
            </w:r>
            <w:r>
              <w:t>) thirty days prior to the end of each fiscal year, a comprehensive operating budget forecasting the Company’s revenues, expenses, and cash position on a month-to-month basis for the upcoming fiscal year</w:t>
            </w:r>
            <w:r w:rsidRPr="003A7E38">
              <w:t>[</w:t>
            </w:r>
            <w:r>
              <w:t xml:space="preserve">; and (iii) promptly following the end of each quarter an up-to-date capitalization table.  </w:t>
            </w:r>
            <w:r w:rsidRPr="003A7E38">
              <w:t xml:space="preserve">A </w:t>
            </w:r>
            <w:r>
              <w:t>“</w:t>
            </w:r>
            <w:r w:rsidRPr="00A01DFF">
              <w:t>Major Investor</w:t>
            </w:r>
            <w:r>
              <w:t>”</w:t>
            </w:r>
            <w:r w:rsidRPr="003A7E38">
              <w:t xml:space="preserve"> means any Investor who purchases at least $</w:t>
            </w:r>
            <w:r w:rsidR="00A5576C">
              <w:t>200,000</w:t>
            </w:r>
            <w:r w:rsidRPr="003A7E38">
              <w:t xml:space="preserve"> of Series A Preferred.</w:t>
            </w:r>
          </w:p>
        </w:tc>
      </w:tr>
      <w:tr w:rsidR="00DD2457" w14:paraId="6830250A" w14:textId="77777777" w:rsidTr="00682930">
        <w:tc>
          <w:tcPr>
            <w:tcW w:w="1585" w:type="pct"/>
            <w:tcBorders>
              <w:top w:val="nil"/>
              <w:left w:val="nil"/>
              <w:bottom w:val="nil"/>
              <w:right w:val="nil"/>
            </w:tcBorders>
          </w:tcPr>
          <w:p w14:paraId="17FE8896" w14:textId="1812DADF" w:rsidR="00DD2457" w:rsidRDefault="00DD2457" w:rsidP="00FD57EE">
            <w:pPr>
              <w:pStyle w:val="TableItalics"/>
            </w:pPr>
            <w:bookmarkStart w:id="40" w:name="Prorata"/>
            <w:bookmarkEnd w:id="40"/>
            <w:r>
              <w:br w:type="page"/>
            </w:r>
            <w:r>
              <w:br w:type="page"/>
            </w:r>
            <w:r>
              <w:br w:type="page"/>
            </w:r>
            <w:hyperlink w:anchor="_Frequency_of_Pro-Rata" w:history="1">
              <w:r w:rsidRPr="00E76271">
                <w:rPr>
                  <w:rStyle w:val="Hyperlink"/>
                </w:rPr>
                <w:t>Right to Participate Pro Rata in Future Rounds</w:t>
              </w:r>
            </w:hyperlink>
            <w:r>
              <w:t>:</w:t>
            </w:r>
          </w:p>
        </w:tc>
        <w:tc>
          <w:tcPr>
            <w:tcW w:w="3415" w:type="pct"/>
            <w:tcBorders>
              <w:top w:val="nil"/>
              <w:left w:val="nil"/>
              <w:bottom w:val="nil"/>
              <w:right w:val="nil"/>
            </w:tcBorders>
          </w:tcPr>
          <w:p w14:paraId="1ACA912D" w14:textId="6AD1DC8D" w:rsidR="00DD2457" w:rsidRDefault="00DD2457" w:rsidP="00FD57EE">
            <w:pPr>
              <w:pStyle w:val="TableText"/>
            </w:pPr>
            <w:r>
              <w:t xml:space="preserve">All Major Investors shall have a pro rata right, based on their percentage equity ownership in the Company (assuming the conversion of all outstanding Preferred Stock into Common Stock and the exercise of all options outstanding under the Company’s stock plans), to participate in subsequent issuances of equity securities of the Company (excluding those issuances listed at the end of the “Anti-dilution Provisions” section of this Term Sheet and shares issued in an IPO).  In addition, should any Major Investor choose not to purchase its full pro rata share, the </w:t>
            </w:r>
            <w:r>
              <w:lastRenderedPageBreak/>
              <w:t>remaining Major Investors shall have the right to purchase the remaining pro rata shares.</w:t>
            </w:r>
          </w:p>
        </w:tc>
      </w:tr>
      <w:tr w:rsidR="00DD2457" w14:paraId="3E0A3196" w14:textId="77777777" w:rsidTr="00682930">
        <w:tc>
          <w:tcPr>
            <w:tcW w:w="1585" w:type="pct"/>
            <w:tcBorders>
              <w:top w:val="nil"/>
              <w:left w:val="nil"/>
              <w:bottom w:val="nil"/>
              <w:right w:val="nil"/>
            </w:tcBorders>
          </w:tcPr>
          <w:p w14:paraId="1A09EB98" w14:textId="22B65E0B" w:rsidR="00DD2457" w:rsidRDefault="00DD2457" w:rsidP="00FD57EE">
            <w:pPr>
              <w:pStyle w:val="TableItalics"/>
              <w:rPr>
                <w:b/>
                <w:bCs/>
              </w:rPr>
            </w:pPr>
            <w:r>
              <w:lastRenderedPageBreak/>
              <w:t>Matters Requiring Preferred Director Approval:</w:t>
            </w:r>
          </w:p>
        </w:tc>
        <w:tc>
          <w:tcPr>
            <w:tcW w:w="3415" w:type="pct"/>
            <w:tcBorders>
              <w:top w:val="nil"/>
              <w:left w:val="nil"/>
              <w:bottom w:val="nil"/>
              <w:right w:val="nil"/>
            </w:tcBorders>
          </w:tcPr>
          <w:p w14:paraId="099FDC78" w14:textId="325C4309" w:rsidR="00DD2457" w:rsidRDefault="00DD2457" w:rsidP="00FD57EE">
            <w:pPr>
              <w:pStyle w:val="TableText"/>
              <w:rPr>
                <w:b/>
                <w:bCs/>
              </w:rPr>
            </w:pPr>
            <w:r>
              <w:t xml:space="preserve">So long </w:t>
            </w:r>
            <w:r w:rsidRPr="00DC7B51">
              <w:t xml:space="preserve">as the </w:t>
            </w:r>
            <w:r w:rsidRPr="00DB4821">
              <w:t>holders of</w:t>
            </w:r>
            <w:r w:rsidRPr="00DC7B51">
              <w:t xml:space="preserve"> Series A Preferred </w:t>
            </w:r>
            <w:r w:rsidRPr="00DB4821">
              <w:t xml:space="preserve">are entitled to elect a Director, </w:t>
            </w:r>
            <w:r w:rsidRPr="00DC7B51">
              <w:t xml:space="preserve">the Company will not, without Board approval, which approval must include the affirmative vote of </w:t>
            </w:r>
            <w:r w:rsidRPr="00DB4821">
              <w:t>at least one</w:t>
            </w:r>
            <w:r>
              <w:t xml:space="preserve"> the then-seated Preferred Directors:</w:t>
            </w:r>
          </w:p>
          <w:p w14:paraId="54D9AE8D" w14:textId="08076B9C" w:rsidR="00DD2457" w:rsidRDefault="00DD2457" w:rsidP="00FD57EE">
            <w:pPr>
              <w:pStyle w:val="TableText"/>
              <w:rPr>
                <w:b/>
                <w:bCs/>
              </w:rPr>
            </w:pPr>
            <w:r>
              <w:t xml:space="preserve">(i) make any loan or advance to, or own any stock or other securities of, any subsidiary or other corporation, partnership, or other entity unless it is wholly owned by the Company; (ii) make any loan or advance to any person, including, any employee or director, except advances and similar expenditures in the ordinary course of business or under the terms of an employee stock or option plan approved by the Board of Directors; (iii) guarantee any indebtedness except for trade accounts of the Company or any subsidiary arising in the ordinary course of business; (iv) make any investment </w:t>
            </w:r>
            <w:r w:rsidRPr="00FD57EE">
              <w:t>inconsistent with any investment policy approved by the Board of Directors</w:t>
            </w:r>
            <w:r w:rsidRPr="00DC7B51">
              <w:t>; (v) incur any aggregate indebtedness in excess of $</w:t>
            </w:r>
            <w:r w:rsidR="00460F94">
              <w:t>100,000</w:t>
            </w:r>
            <w:r w:rsidRPr="00DB4821">
              <w:t xml:space="preserve"> that is not already included in a Board-approved budget, other than trade credit incurred in the ordinary course of business; (vi) hire, fire, or change the compensation of the executive officers, including approving any option </w:t>
            </w:r>
            <w:r w:rsidRPr="00FD57EE">
              <w:t>grants</w:t>
            </w:r>
            <w:r w:rsidRPr="00DC7B51">
              <w:t>; (vii) change the principal business of the Company, enter new lines of business, or exit the current line of business; (</w:t>
            </w:r>
            <w:r w:rsidRPr="00DB4821">
              <w:t xml:space="preserve">viii) sell, </w:t>
            </w:r>
            <w:r w:rsidRPr="00FD57EE">
              <w:t>assign</w:t>
            </w:r>
            <w:r w:rsidRPr="00DC7B51">
              <w:t xml:space="preserve">, license, pledge or encumber </w:t>
            </w:r>
            <w:r w:rsidRPr="00FD57EE">
              <w:t xml:space="preserve">material </w:t>
            </w:r>
            <w:r w:rsidRPr="00DC7B51">
              <w:t>technology or intellectual property, other than licenses granted in the ordinary course of business</w:t>
            </w:r>
            <w:r w:rsidRPr="00FD57EE">
              <w:t>; or (ix) enter into any corporate strategic relationship involving the payment contribution or assignment by the Company or to the Company of assets greater than $</w:t>
            </w:r>
            <w:r w:rsidR="00460F94">
              <w:t>100,000</w:t>
            </w:r>
            <w:r w:rsidRPr="00DC7B51">
              <w:t>.</w:t>
            </w:r>
            <w:r>
              <w:t xml:space="preserve"> </w:t>
            </w:r>
          </w:p>
        </w:tc>
      </w:tr>
      <w:tr w:rsidR="00DD2457" w14:paraId="49FAE255" w14:textId="77777777" w:rsidTr="00682930">
        <w:tc>
          <w:tcPr>
            <w:tcW w:w="1585" w:type="pct"/>
            <w:tcBorders>
              <w:top w:val="nil"/>
              <w:left w:val="nil"/>
              <w:bottom w:val="nil"/>
              <w:right w:val="nil"/>
            </w:tcBorders>
          </w:tcPr>
          <w:p w14:paraId="281D2395" w14:textId="236BC31D" w:rsidR="00DD2457" w:rsidRDefault="00DD2457" w:rsidP="00FD57EE">
            <w:pPr>
              <w:pStyle w:val="TableItalics"/>
            </w:pPr>
            <w:r>
              <w:t xml:space="preserve">Non-Competition Agreements: </w:t>
            </w:r>
          </w:p>
        </w:tc>
        <w:tc>
          <w:tcPr>
            <w:tcW w:w="3415" w:type="pct"/>
            <w:tcBorders>
              <w:top w:val="nil"/>
              <w:left w:val="nil"/>
              <w:bottom w:val="nil"/>
              <w:right w:val="nil"/>
            </w:tcBorders>
          </w:tcPr>
          <w:p w14:paraId="00EAC7AD" w14:textId="5734723F" w:rsidR="00DD2457" w:rsidRDefault="00DD2457" w:rsidP="00FD57EE">
            <w:pPr>
              <w:pStyle w:val="TableText"/>
            </w:pPr>
            <w:r>
              <w:t>Founders and key employee will enter into a one year non-competition agreement in a form reasonably acceptable to the Investors.</w:t>
            </w:r>
          </w:p>
        </w:tc>
      </w:tr>
      <w:tr w:rsidR="00DD2457" w14:paraId="1F47E01B" w14:textId="77777777" w:rsidTr="00682930">
        <w:tc>
          <w:tcPr>
            <w:tcW w:w="1585" w:type="pct"/>
            <w:tcBorders>
              <w:top w:val="nil"/>
              <w:left w:val="nil"/>
              <w:bottom w:val="nil"/>
              <w:right w:val="nil"/>
            </w:tcBorders>
          </w:tcPr>
          <w:p w14:paraId="38C9B058" w14:textId="77777777" w:rsidR="00DD2457" w:rsidRDefault="00DD2457" w:rsidP="00FD57EE">
            <w:pPr>
              <w:pStyle w:val="TableItalics"/>
            </w:pPr>
            <w:r>
              <w:t>Non-Disclosure, Non-Solicitation and Developments Agreement:</w:t>
            </w:r>
          </w:p>
        </w:tc>
        <w:tc>
          <w:tcPr>
            <w:tcW w:w="3415" w:type="pct"/>
            <w:tcBorders>
              <w:top w:val="nil"/>
              <w:left w:val="nil"/>
              <w:bottom w:val="nil"/>
              <w:right w:val="nil"/>
            </w:tcBorders>
          </w:tcPr>
          <w:p w14:paraId="2C7F00A1" w14:textId="77777777" w:rsidR="00DD2457" w:rsidRDefault="00DD2457" w:rsidP="00FD57EE">
            <w:pPr>
              <w:pStyle w:val="TableText"/>
            </w:pPr>
            <w:r>
              <w:t xml:space="preserve">Each current, future and former founder, employee and consultant will </w:t>
            </w:r>
            <w:proofErr w:type="gramStart"/>
            <w:r>
              <w:t>enter into</w:t>
            </w:r>
            <w:proofErr w:type="gramEnd"/>
            <w:r>
              <w:t xml:space="preserve"> a non-disclosure, non-solicitation and proprietary rights assignment agreement in a form reasonably acceptable to the Investors.  </w:t>
            </w:r>
          </w:p>
        </w:tc>
      </w:tr>
      <w:tr w:rsidR="00DD2457" w14:paraId="6F0D1845" w14:textId="77777777" w:rsidTr="00682930">
        <w:tc>
          <w:tcPr>
            <w:tcW w:w="1585" w:type="pct"/>
            <w:tcBorders>
              <w:top w:val="nil"/>
              <w:left w:val="nil"/>
              <w:bottom w:val="nil"/>
              <w:right w:val="nil"/>
            </w:tcBorders>
          </w:tcPr>
          <w:p w14:paraId="236D2774" w14:textId="77777777" w:rsidR="00DD2457" w:rsidRDefault="00DD2457" w:rsidP="00FD57EE">
            <w:pPr>
              <w:pStyle w:val="TableItalics"/>
            </w:pPr>
            <w:r>
              <w:t>Board Matters:</w:t>
            </w:r>
          </w:p>
        </w:tc>
        <w:tc>
          <w:tcPr>
            <w:tcW w:w="3415" w:type="pct"/>
            <w:tcBorders>
              <w:top w:val="nil"/>
              <w:left w:val="nil"/>
              <w:bottom w:val="nil"/>
              <w:right w:val="nil"/>
            </w:tcBorders>
          </w:tcPr>
          <w:p w14:paraId="2D8F5719" w14:textId="0E5EB2BF" w:rsidR="00DD2457" w:rsidRDefault="00DD2457" w:rsidP="00FD57EE">
            <w:pPr>
              <w:pStyle w:val="TableText"/>
            </w:pPr>
            <w:r>
              <w:t>Each Board Committee shall include at least one Preferred Director.</w:t>
            </w:r>
            <w:r w:rsidRPr="00FD57EE">
              <w:t xml:space="preserve">  Company to reimburse nonemployee directors for reasonable out-of-pocket expenses incurred in connection with attending Board meeting. </w:t>
            </w:r>
            <w:r>
              <w:t xml:space="preserve">The Company will bind D&amp;O insurance with a carrier and in an amount satisfactory to the Board of Directors.  Company to enter into Indemnification Agreement with each Preferred Director with provisions </w:t>
            </w:r>
            <w:r>
              <w:lastRenderedPageBreak/>
              <w:t>benefitting their affiliated funds in form acceptable to such director.  In the event the Company merges with another entity and is not the surviving entity, or transfers all of its assets, proper provisions shall be made so that successors of the Company assume</w:t>
            </w:r>
            <w:r w:rsidRPr="00FD57EE">
              <w:t xml:space="preserve"> the</w:t>
            </w:r>
            <w:r>
              <w:t xml:space="preserve"> Company’s obligations with respect to indemnification of Directors.  </w:t>
            </w:r>
          </w:p>
        </w:tc>
      </w:tr>
      <w:bookmarkStart w:id="41" w:name="Stock_Options"/>
      <w:tr w:rsidR="00DD2457" w14:paraId="6C86E442" w14:textId="77777777" w:rsidTr="00682930">
        <w:tc>
          <w:tcPr>
            <w:tcW w:w="1585" w:type="pct"/>
            <w:tcBorders>
              <w:top w:val="nil"/>
              <w:left w:val="nil"/>
              <w:bottom w:val="nil"/>
              <w:right w:val="nil"/>
            </w:tcBorders>
          </w:tcPr>
          <w:p w14:paraId="64690620" w14:textId="333C1F20" w:rsidR="00DD2457" w:rsidRDefault="007329C1" w:rsidP="00FD57EE">
            <w:pPr>
              <w:pStyle w:val="TableItalics"/>
            </w:pPr>
            <w:r>
              <w:lastRenderedPageBreak/>
              <w:fldChar w:fldCharType="begin"/>
            </w:r>
            <w:r>
              <w:instrText xml:space="preserve"> HYPERLINK  \l "_Percentage_of_Employee" </w:instrText>
            </w:r>
            <w:r>
              <w:fldChar w:fldCharType="separate"/>
            </w:r>
            <w:r w:rsidR="00DD2457" w:rsidRPr="007329C1">
              <w:rPr>
                <w:rStyle w:val="Hyperlink"/>
              </w:rPr>
              <w:t>Employee Stock Options</w:t>
            </w:r>
            <w:bookmarkEnd w:id="41"/>
            <w:r>
              <w:fldChar w:fldCharType="end"/>
            </w:r>
            <w:r w:rsidR="00DD2457">
              <w:t>:</w:t>
            </w:r>
          </w:p>
        </w:tc>
        <w:tc>
          <w:tcPr>
            <w:tcW w:w="3415" w:type="pct"/>
            <w:tcBorders>
              <w:top w:val="nil"/>
              <w:left w:val="nil"/>
              <w:bottom w:val="nil"/>
              <w:right w:val="nil"/>
            </w:tcBorders>
          </w:tcPr>
          <w:p w14:paraId="2C1CEB98" w14:textId="3DE13FA2" w:rsidR="00DD2457" w:rsidRDefault="00DD2457" w:rsidP="00FD57EE">
            <w:pPr>
              <w:pStyle w:val="TableText"/>
            </w:pPr>
            <w:r>
              <w:t xml:space="preserve">All </w:t>
            </w:r>
            <w:r w:rsidR="00A66191">
              <w:t>f</w:t>
            </w:r>
            <w:r>
              <w:t>uture employee options to vest as follows:  25% after one year, with remaining vesting monthly over next 36 months.</w:t>
            </w:r>
          </w:p>
        </w:tc>
      </w:tr>
      <w:tr w:rsidR="00DD2457" w14:paraId="12CDFBA7" w14:textId="77777777" w:rsidTr="00682930">
        <w:tc>
          <w:tcPr>
            <w:tcW w:w="5000" w:type="pct"/>
            <w:gridSpan w:val="2"/>
            <w:tcBorders>
              <w:top w:val="nil"/>
              <w:left w:val="nil"/>
              <w:bottom w:val="nil"/>
              <w:right w:val="nil"/>
            </w:tcBorders>
          </w:tcPr>
          <w:p w14:paraId="5950FB85" w14:textId="77777777" w:rsidR="00DD2457" w:rsidRDefault="00DD2457" w:rsidP="000C50A0">
            <w:pPr>
              <w:pStyle w:val="TableTextBU"/>
            </w:pPr>
            <w:r>
              <w:t>RIGHT OF FIRST REFUSAL/CO-SALE AGREEMENT</w:t>
            </w:r>
          </w:p>
        </w:tc>
      </w:tr>
      <w:tr w:rsidR="00DD2457" w14:paraId="79251B8C" w14:textId="77777777" w:rsidTr="00682930">
        <w:tc>
          <w:tcPr>
            <w:tcW w:w="1585" w:type="pct"/>
            <w:tcBorders>
              <w:top w:val="nil"/>
              <w:left w:val="nil"/>
              <w:bottom w:val="nil"/>
              <w:right w:val="nil"/>
            </w:tcBorders>
          </w:tcPr>
          <w:p w14:paraId="033C0373" w14:textId="3884B418" w:rsidR="00DD2457" w:rsidRDefault="00DD2457" w:rsidP="00FD57EE">
            <w:pPr>
              <w:pStyle w:val="TableItalics"/>
            </w:pPr>
            <w:r>
              <w:br w:type="page"/>
            </w:r>
            <w:bookmarkStart w:id="42" w:name="ROFR"/>
            <w:bookmarkEnd w:id="42"/>
            <w:r w:rsidR="004146A9">
              <w:fldChar w:fldCharType="begin"/>
            </w:r>
            <w:r w:rsidR="004146A9">
              <w:instrText xml:space="preserve"> HYPERLINK  \l "_Frequency_of_Right" </w:instrText>
            </w:r>
            <w:r w:rsidR="004146A9">
              <w:fldChar w:fldCharType="separate"/>
            </w:r>
            <w:r w:rsidRPr="004146A9">
              <w:rPr>
                <w:rStyle w:val="Hyperlink"/>
              </w:rPr>
              <w:t>Right of First Refusal/</w:t>
            </w:r>
            <w:r w:rsidRPr="004146A9">
              <w:rPr>
                <w:rStyle w:val="Hyperlink"/>
              </w:rPr>
              <w:br/>
              <w:t>Right of Co-Sale (Take-Me-Along)</w:t>
            </w:r>
            <w:r w:rsidR="004146A9">
              <w:fldChar w:fldCharType="end"/>
            </w:r>
            <w:r>
              <w:t>:</w:t>
            </w:r>
          </w:p>
        </w:tc>
        <w:tc>
          <w:tcPr>
            <w:tcW w:w="3415" w:type="pct"/>
            <w:tcBorders>
              <w:top w:val="nil"/>
              <w:left w:val="nil"/>
              <w:bottom w:val="nil"/>
              <w:right w:val="nil"/>
            </w:tcBorders>
          </w:tcPr>
          <w:p w14:paraId="305CF4B9" w14:textId="77777777" w:rsidR="00DD2457" w:rsidRDefault="00DD2457" w:rsidP="00FD57EE">
            <w:pPr>
              <w:pStyle w:val="TableText"/>
            </w:pPr>
            <w:r>
              <w:t xml:space="preserve">Company first and Investors second </w:t>
            </w:r>
            <w:r w:rsidRPr="00FD57EE">
              <w:rPr>
                <w:bCs/>
              </w:rPr>
              <w:t xml:space="preserve">will </w:t>
            </w:r>
            <w:r>
              <w:t xml:space="preserve">have a right of first refusal with respect to any shares of capital stock of the Company proposed to be </w:t>
            </w:r>
            <w:r w:rsidRPr="00FD57EE">
              <w:rPr>
                <w:bCs/>
              </w:rPr>
              <w:t xml:space="preserve">transferred </w:t>
            </w:r>
            <w:r>
              <w:t xml:space="preserve">by </w:t>
            </w:r>
            <w:r w:rsidRPr="00FD57EE">
              <w:rPr>
                <w:bCs/>
              </w:rPr>
              <w:t>current and future</w:t>
            </w:r>
            <w:r w:rsidRPr="00FD57EE">
              <w:rPr>
                <w:b/>
                <w:bCs/>
              </w:rPr>
              <w:t xml:space="preserve"> </w:t>
            </w:r>
            <w:r>
              <w:t>employees holding 1% or more of Company Common Stock (assuming conversion of Preferred Stock</w:t>
            </w:r>
            <w:r w:rsidRPr="00FD57EE">
              <w:rPr>
                <w:bCs/>
              </w:rPr>
              <w:t xml:space="preserve"> and whether then held or subject to the exercise of options</w:t>
            </w:r>
            <w:r>
              <w:t>), with a right of oversubscription for Investors of shares unsubscribed by the other Investors.  Before any such person may sell Common Stock, he will give the Investors an opportunity to participate in such sale on a basis proportionate to the amount of securities held by the seller and those held by the participating Investors.</w:t>
            </w:r>
            <w:r w:rsidRPr="00B71D49">
              <w:rPr>
                <w:rStyle w:val="FootnoteReference"/>
                <w:sz w:val="24"/>
              </w:rPr>
              <w:footnoteReference w:id="6"/>
            </w:r>
            <w:r w:rsidRPr="001D263D">
              <w:rPr>
                <w:b/>
              </w:rPr>
              <w:t xml:space="preserve"> </w:t>
            </w:r>
          </w:p>
        </w:tc>
      </w:tr>
      <w:tr w:rsidR="00DD2457" w14:paraId="28254BDF" w14:textId="77777777" w:rsidTr="00682930">
        <w:tc>
          <w:tcPr>
            <w:tcW w:w="5000" w:type="pct"/>
            <w:gridSpan w:val="2"/>
            <w:tcBorders>
              <w:top w:val="nil"/>
              <w:left w:val="nil"/>
              <w:bottom w:val="nil"/>
              <w:right w:val="nil"/>
            </w:tcBorders>
            <w:shd w:val="clear" w:color="auto" w:fill="FFFFFF"/>
          </w:tcPr>
          <w:p w14:paraId="1F9EBF80" w14:textId="77777777" w:rsidR="00DD2457" w:rsidRPr="00FD57EE" w:rsidRDefault="00DD2457" w:rsidP="00FD57EE">
            <w:pPr>
              <w:pStyle w:val="TableTextBU"/>
            </w:pPr>
            <w:r w:rsidRPr="00FD57EE">
              <w:t>VOTING AGREEMENT</w:t>
            </w:r>
          </w:p>
        </w:tc>
      </w:tr>
      <w:tr w:rsidR="00DD2457" w14:paraId="7E45B722" w14:textId="77777777" w:rsidTr="00682930">
        <w:tc>
          <w:tcPr>
            <w:tcW w:w="1585" w:type="pct"/>
            <w:tcBorders>
              <w:top w:val="nil"/>
              <w:left w:val="nil"/>
              <w:bottom w:val="nil"/>
              <w:right w:val="nil"/>
            </w:tcBorders>
          </w:tcPr>
          <w:p w14:paraId="39DC7098" w14:textId="5D58A117" w:rsidR="00DD2457" w:rsidRDefault="00DD2457" w:rsidP="00FD57EE">
            <w:pPr>
              <w:pStyle w:val="TableItalics"/>
            </w:pPr>
            <w:bookmarkStart w:id="43" w:name="Board"/>
            <w:bookmarkEnd w:id="43"/>
            <w:r>
              <w:br w:type="page"/>
            </w:r>
            <w:hyperlink w:anchor="_Median_Number_of" w:history="1">
              <w:r w:rsidRPr="004146A9">
                <w:rPr>
                  <w:rStyle w:val="Hyperlink"/>
                </w:rPr>
                <w:t>Board of Directors</w:t>
              </w:r>
            </w:hyperlink>
            <w:r>
              <w:t>:</w:t>
            </w:r>
          </w:p>
        </w:tc>
        <w:tc>
          <w:tcPr>
            <w:tcW w:w="3415" w:type="pct"/>
            <w:tcBorders>
              <w:top w:val="nil"/>
              <w:left w:val="nil"/>
              <w:bottom w:val="nil"/>
              <w:right w:val="nil"/>
            </w:tcBorders>
          </w:tcPr>
          <w:p w14:paraId="58D8551A" w14:textId="039A87B5" w:rsidR="00DD2457" w:rsidRDefault="00DD2457" w:rsidP="00FD57EE">
            <w:pPr>
              <w:pStyle w:val="TableText"/>
            </w:pPr>
            <w:r>
              <w:t>At the Closing, the</w:t>
            </w:r>
            <w:r w:rsidRPr="00FD57EE">
              <w:t xml:space="preserve"> </w:t>
            </w:r>
            <w:r>
              <w:t xml:space="preserve">Board </w:t>
            </w:r>
            <w:r w:rsidRPr="00FD57EE">
              <w:t>of Directors</w:t>
            </w:r>
            <w:r>
              <w:t xml:space="preserve"> shall consist of </w:t>
            </w:r>
            <w:r w:rsidR="00FF6355">
              <w:t xml:space="preserve">five </w:t>
            </w:r>
            <w:r>
              <w:t>members comprised of (i) [</w:t>
            </w:r>
            <w:r>
              <w:rPr>
                <w:i/>
                <w:iCs/>
              </w:rPr>
              <w:t>name</w:t>
            </w:r>
            <w:r>
              <w:t>] as [the representative designated by [____], as the lead Investor, (ii) [</w:t>
            </w:r>
            <w:r>
              <w:rPr>
                <w:i/>
                <w:iCs/>
              </w:rPr>
              <w:t>name</w:t>
            </w:r>
            <w:r>
              <w:t>] as the representative designated by the remaining Investors, (iii) [</w:t>
            </w:r>
            <w:r>
              <w:rPr>
                <w:i/>
                <w:iCs/>
              </w:rPr>
              <w:t>name</w:t>
            </w:r>
            <w:r>
              <w:t>] as the representative designated by the Common Stockholders, (iv) the person then serving as the Chief Executive Officer of the Company, and (v) [___] person(s) who are not employed by the Company and who are mutually acceptable [to the other directors].</w:t>
            </w:r>
          </w:p>
        </w:tc>
      </w:tr>
      <w:tr w:rsidR="00DD2457" w14:paraId="28DBD2BE" w14:textId="77777777" w:rsidTr="00682930">
        <w:tc>
          <w:tcPr>
            <w:tcW w:w="1585" w:type="pct"/>
            <w:tcBorders>
              <w:top w:val="nil"/>
              <w:left w:val="nil"/>
              <w:bottom w:val="nil"/>
              <w:right w:val="nil"/>
            </w:tcBorders>
          </w:tcPr>
          <w:p w14:paraId="538F9ABF" w14:textId="5A54D46A" w:rsidR="00DD2457" w:rsidRDefault="00DD2457" w:rsidP="00FD57EE">
            <w:pPr>
              <w:pStyle w:val="TableItalics"/>
            </w:pPr>
            <w:bookmarkStart w:id="44" w:name="Drag_Along"/>
            <w:bookmarkEnd w:id="44"/>
            <w:r>
              <w:br w:type="page"/>
            </w:r>
            <w:hyperlink w:anchor="_Frequency_of_Drag" w:history="1">
              <w:r w:rsidRPr="009F1E5A">
                <w:rPr>
                  <w:rStyle w:val="Hyperlink"/>
                </w:rPr>
                <w:t>Drag Along</w:t>
              </w:r>
            </w:hyperlink>
            <w:r w:rsidRPr="00FD57EE">
              <w:t>:</w:t>
            </w:r>
          </w:p>
        </w:tc>
        <w:tc>
          <w:tcPr>
            <w:tcW w:w="3415" w:type="pct"/>
            <w:tcBorders>
              <w:top w:val="nil"/>
              <w:left w:val="nil"/>
              <w:bottom w:val="nil"/>
              <w:right w:val="nil"/>
            </w:tcBorders>
          </w:tcPr>
          <w:p w14:paraId="473073EB" w14:textId="74DD63F0" w:rsidR="00DD2457" w:rsidRPr="00C13829" w:rsidRDefault="00DD2457" w:rsidP="00FD57EE">
            <w:pPr>
              <w:pStyle w:val="BodyText2"/>
              <w:spacing w:after="240"/>
              <w:jc w:val="both"/>
              <w:rPr>
                <w:b/>
                <w:sz w:val="24"/>
                <w:szCs w:val="24"/>
              </w:rPr>
            </w:pPr>
            <w:r w:rsidRPr="00F43C60">
              <w:rPr>
                <w:sz w:val="24"/>
                <w:szCs w:val="24"/>
              </w:rPr>
              <w:t>Holders of Preferred Stock and all current and future holders of Common Stock (assuming conversion of Preferred Stock and whether then held or subject to the exercise of options) shall be required to enter into an agreement with the Investors that provides that such stockholders will vote their shares in favor of a Deemed Liquidation Event or transaction in which 50% or more of the voting power</w:t>
            </w:r>
            <w:r w:rsidRPr="00FC2BA6">
              <w:rPr>
                <w:sz w:val="24"/>
                <w:szCs w:val="24"/>
              </w:rPr>
              <w:t xml:space="preserve"> of the Company is transferred</w:t>
            </w:r>
            <w:r w:rsidRPr="00B71D49">
              <w:rPr>
                <w:bCs/>
                <w:sz w:val="24"/>
                <w:szCs w:val="24"/>
              </w:rPr>
              <w:t xml:space="preserve"> and which is</w:t>
            </w:r>
            <w:r w:rsidRPr="00F43C60">
              <w:rPr>
                <w:sz w:val="24"/>
                <w:szCs w:val="24"/>
              </w:rPr>
              <w:t xml:space="preserve"> approved by the Board of Directors</w:t>
            </w:r>
            <w:r w:rsidR="00854C89">
              <w:rPr>
                <w:sz w:val="24"/>
                <w:szCs w:val="24"/>
              </w:rPr>
              <w:t xml:space="preserve"> and</w:t>
            </w:r>
            <w:r w:rsidRPr="00F43C60">
              <w:rPr>
                <w:sz w:val="24"/>
                <w:szCs w:val="24"/>
              </w:rPr>
              <w:t xml:space="preserve"> the Requisite Holders [and holders of a majority of the shares of Common </w:t>
            </w:r>
            <w:r w:rsidRPr="00F43C60">
              <w:rPr>
                <w:sz w:val="24"/>
                <w:szCs w:val="24"/>
              </w:rPr>
              <w:lastRenderedPageBreak/>
              <w:t>Stock then held by employees of the Company (collectively with the Requisite Holders, the “</w:t>
            </w:r>
            <w:r w:rsidRPr="00F43C60">
              <w:rPr>
                <w:b/>
                <w:sz w:val="24"/>
                <w:szCs w:val="24"/>
              </w:rPr>
              <w:t>Electing Holders</w:t>
            </w:r>
            <w:r w:rsidRPr="00F43C60">
              <w:rPr>
                <w:sz w:val="24"/>
                <w:szCs w:val="24"/>
              </w:rPr>
              <w:t>”), so long a</w:t>
            </w:r>
            <w:r w:rsidRPr="00FC2BA6">
              <w:rPr>
                <w:sz w:val="24"/>
                <w:szCs w:val="24"/>
              </w:rPr>
              <w:t>s the liability of each stockholder in such transaction is several (and not joint) and does not exceed the stockholder’s pro rata portion of any claim and the consideration to be paid to the stockholders in such transaction will be alloca</w:t>
            </w:r>
            <w:r w:rsidRPr="00AB3CB8">
              <w:rPr>
                <w:sz w:val="24"/>
                <w:szCs w:val="24"/>
              </w:rPr>
              <w:t>ted as if the consideration were the proceeds to be distributed to the Company’s stockholders in a liquidation under the Company’s then-current Charter, subject to customary limitation</w:t>
            </w:r>
            <w:r w:rsidRPr="00FD57EE">
              <w:rPr>
                <w:sz w:val="24"/>
                <w:szCs w:val="24"/>
              </w:rPr>
              <w:t>s.</w:t>
            </w:r>
            <w:r w:rsidRPr="001D263D">
              <w:rPr>
                <w:b/>
                <w:sz w:val="24"/>
                <w:szCs w:val="24"/>
              </w:rPr>
              <w:t xml:space="preserve"> </w:t>
            </w:r>
          </w:p>
        </w:tc>
      </w:tr>
      <w:tr w:rsidR="00DD2457" w14:paraId="2546FB41" w14:textId="77777777" w:rsidTr="00682930">
        <w:tc>
          <w:tcPr>
            <w:tcW w:w="5000" w:type="pct"/>
            <w:gridSpan w:val="2"/>
            <w:tcBorders>
              <w:top w:val="nil"/>
              <w:left w:val="nil"/>
              <w:bottom w:val="nil"/>
              <w:right w:val="nil"/>
            </w:tcBorders>
          </w:tcPr>
          <w:p w14:paraId="14308ABC" w14:textId="77777777" w:rsidR="00DD2457" w:rsidRDefault="00DD2457" w:rsidP="00FD57EE">
            <w:pPr>
              <w:pStyle w:val="TableTextBU"/>
            </w:pPr>
            <w:r>
              <w:lastRenderedPageBreak/>
              <w:br w:type="page"/>
              <w:t>OTHER MATTERS</w:t>
            </w:r>
          </w:p>
        </w:tc>
      </w:tr>
      <w:tr w:rsidR="00DD2457" w14:paraId="2935B2D4" w14:textId="77777777" w:rsidTr="00682930">
        <w:tc>
          <w:tcPr>
            <w:tcW w:w="1585" w:type="pct"/>
            <w:tcBorders>
              <w:top w:val="nil"/>
              <w:left w:val="nil"/>
              <w:bottom w:val="nil"/>
              <w:right w:val="nil"/>
            </w:tcBorders>
          </w:tcPr>
          <w:p w14:paraId="2F21C5DB" w14:textId="739D0169" w:rsidR="00DD2457" w:rsidRDefault="00DD2457" w:rsidP="00FD57EE">
            <w:pPr>
              <w:pStyle w:val="TableItalics"/>
            </w:pPr>
            <w:r>
              <w:t>Founders’ Stock:</w:t>
            </w:r>
            <w:r>
              <w:br/>
            </w:r>
          </w:p>
        </w:tc>
        <w:tc>
          <w:tcPr>
            <w:tcW w:w="3415" w:type="pct"/>
            <w:tcBorders>
              <w:top w:val="nil"/>
              <w:left w:val="nil"/>
              <w:bottom w:val="nil"/>
              <w:right w:val="nil"/>
            </w:tcBorders>
          </w:tcPr>
          <w:p w14:paraId="3DB022D9" w14:textId="77777777" w:rsidR="00DD2457" w:rsidRDefault="00DD2457" w:rsidP="00FD57EE">
            <w:pPr>
              <w:pStyle w:val="TableText"/>
            </w:pPr>
            <w:r>
              <w:t>Buyback right/vesting for [__]% for first [12 months] after Closing; thereafter, right lapses in equal [monthly] increments over following [__] months.]</w:t>
            </w:r>
            <w:r w:rsidRPr="00B71D49">
              <w:rPr>
                <w:rStyle w:val="FootnoteReference"/>
                <w:sz w:val="24"/>
              </w:rPr>
              <w:footnoteReference w:id="7"/>
            </w:r>
            <w:r>
              <w:t xml:space="preserve">  </w:t>
            </w:r>
          </w:p>
        </w:tc>
      </w:tr>
      <w:tr w:rsidR="00DD2457" w14:paraId="6103C724" w14:textId="77777777" w:rsidTr="00682930">
        <w:tc>
          <w:tcPr>
            <w:tcW w:w="1585" w:type="pct"/>
            <w:tcBorders>
              <w:top w:val="nil"/>
              <w:left w:val="nil"/>
              <w:bottom w:val="nil"/>
              <w:right w:val="nil"/>
            </w:tcBorders>
          </w:tcPr>
          <w:p w14:paraId="0C1A3A3F" w14:textId="582B384A" w:rsidR="00DD2457" w:rsidRDefault="00DD2457" w:rsidP="00FD57EE">
            <w:pPr>
              <w:pStyle w:val="TableItalics"/>
            </w:pPr>
          </w:p>
        </w:tc>
        <w:tc>
          <w:tcPr>
            <w:tcW w:w="3415" w:type="pct"/>
            <w:tcBorders>
              <w:top w:val="nil"/>
              <w:left w:val="nil"/>
              <w:bottom w:val="nil"/>
              <w:right w:val="nil"/>
            </w:tcBorders>
          </w:tcPr>
          <w:p w14:paraId="65394472" w14:textId="7A795622" w:rsidR="00DD2457" w:rsidRDefault="00DD2457" w:rsidP="00FD57EE">
            <w:pPr>
              <w:pStyle w:val="TableText"/>
            </w:pPr>
          </w:p>
        </w:tc>
      </w:tr>
      <w:tr w:rsidR="00DD2457" w14:paraId="592744FE" w14:textId="77777777" w:rsidTr="00682930">
        <w:tc>
          <w:tcPr>
            <w:tcW w:w="1585" w:type="pct"/>
            <w:tcBorders>
              <w:top w:val="nil"/>
              <w:left w:val="nil"/>
              <w:bottom w:val="nil"/>
              <w:right w:val="nil"/>
            </w:tcBorders>
          </w:tcPr>
          <w:p w14:paraId="68FBA856" w14:textId="77777777" w:rsidR="00DD2457" w:rsidRDefault="00DD2457" w:rsidP="00FD57EE">
            <w:pPr>
              <w:pStyle w:val="TableItalics"/>
            </w:pPr>
            <w:r>
              <w:t>No-Shop/Confidentiality:</w:t>
            </w:r>
          </w:p>
        </w:tc>
        <w:tc>
          <w:tcPr>
            <w:tcW w:w="3415" w:type="pct"/>
            <w:tcBorders>
              <w:top w:val="nil"/>
              <w:left w:val="nil"/>
              <w:bottom w:val="nil"/>
              <w:right w:val="nil"/>
            </w:tcBorders>
          </w:tcPr>
          <w:p w14:paraId="1975D98A" w14:textId="68A1BED2" w:rsidR="00DD2457" w:rsidRDefault="00DD2457" w:rsidP="00FD57EE">
            <w:pPr>
              <w:widowControl w:val="0"/>
              <w:spacing w:after="240"/>
              <w:ind w:right="14"/>
              <w:jc w:val="both"/>
            </w:pPr>
            <w:r>
              <w:t xml:space="preserve">The Company and the Investors agree to work in good faith expeditiously towards the Closing.  The Company and the founders agree that they will not, for a period of </w:t>
            </w:r>
            <w:r w:rsidR="008F7A92">
              <w:t>45</w:t>
            </w:r>
            <w:r>
              <w:t xml:space="preserve"> days from the date these terms are accepted, take any action to solicit, initiate, encourage or assist the submission of any proposal, negotiation or offer from any person or entity other than the Investors relating to the sale or issuance, of any of the capital stock of the Company or the acquisition, sale, lease, license or other disposition of the Company or any material part of the stock or assets of the Company and shall notify the Investors promptly of any inquiries by any third parties in regards to the foregoing.  The Company will not disclose the terms of this Term Sheet to any person other than employees, stockholders, members of the Board of Directors and the Company’s accountants and attorneys and other potential Investors acceptable to [_________], as lead Investor, without the written consent of the Investors (which shall not be unreasonably withheld, conditioned or delayed).  </w:t>
            </w:r>
          </w:p>
        </w:tc>
      </w:tr>
      <w:tr w:rsidR="00DD2457" w14:paraId="026B5395" w14:textId="77777777" w:rsidTr="00682930">
        <w:tc>
          <w:tcPr>
            <w:tcW w:w="1585" w:type="pct"/>
            <w:tcBorders>
              <w:top w:val="nil"/>
              <w:left w:val="nil"/>
              <w:bottom w:val="nil"/>
              <w:right w:val="nil"/>
            </w:tcBorders>
          </w:tcPr>
          <w:p w14:paraId="528EB783" w14:textId="77777777" w:rsidR="00DD2457" w:rsidRDefault="00DD2457" w:rsidP="00FD57EE">
            <w:pPr>
              <w:pStyle w:val="TableItalics"/>
            </w:pPr>
            <w:r>
              <w:t>Expiration:</w:t>
            </w:r>
          </w:p>
        </w:tc>
        <w:tc>
          <w:tcPr>
            <w:tcW w:w="3415" w:type="pct"/>
            <w:tcBorders>
              <w:top w:val="nil"/>
              <w:left w:val="nil"/>
              <w:bottom w:val="nil"/>
              <w:right w:val="nil"/>
            </w:tcBorders>
          </w:tcPr>
          <w:p w14:paraId="4823045E" w14:textId="5CB8CF5C" w:rsidR="00DD2457" w:rsidRDefault="00DD2457" w:rsidP="00FD57EE">
            <w:pPr>
              <w:pStyle w:val="TableText"/>
            </w:pPr>
            <w:r>
              <w:t xml:space="preserve">This Term Sheet expires on </w:t>
            </w:r>
            <w:r w:rsidR="009467DE">
              <w:t xml:space="preserve">September </w:t>
            </w:r>
            <w:r w:rsidR="00E15037">
              <w:t>20</w:t>
            </w:r>
            <w:r>
              <w:t xml:space="preserve">, </w:t>
            </w:r>
            <w:proofErr w:type="gramStart"/>
            <w:r>
              <w:t>20</w:t>
            </w:r>
            <w:r w:rsidR="009467DE">
              <w:t>2</w:t>
            </w:r>
            <w:r w:rsidR="00A66191">
              <w:t>5</w:t>
            </w:r>
            <w:proofErr w:type="gramEnd"/>
            <w:r>
              <w:t xml:space="preserve"> if not accepted by the Company by that date.  </w:t>
            </w:r>
          </w:p>
        </w:tc>
      </w:tr>
    </w:tbl>
    <w:p w14:paraId="5D35F5BC" w14:textId="18ACA574" w:rsidR="00DD2457" w:rsidRPr="007C7486" w:rsidRDefault="00DD2457" w:rsidP="00FD57EE">
      <w:pPr>
        <w:pStyle w:val="BodyText"/>
      </w:pPr>
      <w:r w:rsidRPr="007C7486">
        <w:t xml:space="preserve">EXECUTED this [__] day of </w:t>
      </w:r>
      <w:proofErr w:type="gramStart"/>
      <w:r w:rsidR="000574E6">
        <w:t>September</w:t>
      </w:r>
      <w:r w:rsidRPr="007C7486">
        <w:t>,</w:t>
      </w:r>
      <w:proofErr w:type="gramEnd"/>
      <w:r>
        <w:t xml:space="preserve"> </w:t>
      </w:r>
      <w:r w:rsidRPr="007C7486">
        <w:t>20</w:t>
      </w:r>
      <w:r w:rsidR="000574E6">
        <w:t>2</w:t>
      </w:r>
      <w:r w:rsidR="00A66191">
        <w:t>5</w:t>
      </w:r>
    </w:p>
    <w:p w14:paraId="7A211226" w14:textId="77777777" w:rsidR="00DD2457" w:rsidRPr="007C7486" w:rsidRDefault="00DD2457" w:rsidP="00FD57EE">
      <w:pPr>
        <w:pStyle w:val="BodyText"/>
      </w:pPr>
    </w:p>
    <w:p w14:paraId="50697695" w14:textId="1F61E5F2" w:rsidR="00782E4B" w:rsidRPr="004146A9" w:rsidRDefault="00DD2457" w:rsidP="000574E6">
      <w:pPr>
        <w:pStyle w:val="BodyText"/>
      </w:pPr>
      <w:r w:rsidRPr="007C7486">
        <w:t>[Signature Blocks]</w:t>
      </w:r>
    </w:p>
    <w:sectPr w:rsidR="00782E4B" w:rsidRPr="004146A9" w:rsidSect="000B2393">
      <w:headerReference w:type="default" r:id="rId13"/>
      <w:footerReference w:type="default" r:id="rId14"/>
      <w:pgSz w:w="12240" w:h="15840" w:code="1"/>
      <w:pgMar w:top="1152"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74FBB" w14:textId="77777777" w:rsidR="00587536" w:rsidRDefault="00587536" w:rsidP="00DD2457">
      <w:r>
        <w:separator/>
      </w:r>
    </w:p>
  </w:endnote>
  <w:endnote w:type="continuationSeparator" w:id="0">
    <w:p w14:paraId="710A808B" w14:textId="77777777" w:rsidR="00587536" w:rsidRDefault="00587536" w:rsidP="00DD2457">
      <w:r>
        <w:continuationSeparator/>
      </w:r>
    </w:p>
  </w:endnote>
  <w:endnote w:type="continuationNotice" w:id="1">
    <w:p w14:paraId="7E2982E0" w14:textId="77777777" w:rsidR="00587536" w:rsidRDefault="00587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1497475"/>
      <w:docPartObj>
        <w:docPartGallery w:val="Page Numbers (Bottom of Page)"/>
        <w:docPartUnique/>
      </w:docPartObj>
    </w:sdtPr>
    <w:sdtContent>
      <w:p w14:paraId="54104986" w14:textId="77777777" w:rsidR="003A6F3B" w:rsidRDefault="003A6F3B" w:rsidP="002D10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FE172D9" w14:textId="0E23CE0F" w:rsidR="003A6F3B" w:rsidRDefault="003A6F3B" w:rsidP="002D104E">
    <w:pPr>
      <w:pStyle w:val="Footer"/>
      <w:tabs>
        <w:tab w:val="clear" w:pos="4320"/>
        <w:tab w:val="center" w:pos="4680"/>
      </w:tabs>
      <w:autoSpaceDE/>
      <w:autoSpaceDN/>
      <w:adjustRightI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AB6DB" w14:textId="77777777" w:rsidR="00587536" w:rsidRDefault="00587536" w:rsidP="00DD2457">
      <w:r>
        <w:separator/>
      </w:r>
    </w:p>
  </w:footnote>
  <w:footnote w:type="continuationSeparator" w:id="0">
    <w:p w14:paraId="04D2FD97" w14:textId="77777777" w:rsidR="00587536" w:rsidRDefault="00587536" w:rsidP="00DD2457">
      <w:r>
        <w:continuationSeparator/>
      </w:r>
    </w:p>
  </w:footnote>
  <w:footnote w:type="continuationNotice" w:id="1">
    <w:p w14:paraId="04B69020" w14:textId="77777777" w:rsidR="00587536" w:rsidRDefault="00587536"/>
  </w:footnote>
  <w:footnote w:id="2">
    <w:p w14:paraId="66A843A5" w14:textId="5FA42186" w:rsidR="009570C7" w:rsidRPr="009570C7" w:rsidRDefault="009570C7" w:rsidP="009570C7">
      <w:pPr>
        <w:rPr>
          <w:rFonts w:eastAsia="Arial"/>
          <w:sz w:val="20"/>
          <w:szCs w:val="20"/>
        </w:rPr>
      </w:pPr>
      <w:r>
        <w:rPr>
          <w:rStyle w:val="FootnoteReference"/>
        </w:rPr>
        <w:footnoteRef/>
      </w:r>
      <w:r>
        <w:t xml:space="preserve"> </w:t>
      </w:r>
      <w:r w:rsidRPr="009570C7">
        <w:rPr>
          <w:rFonts w:eastAsia="Arial"/>
          <w:sz w:val="20"/>
          <w:szCs w:val="20"/>
        </w:rPr>
        <w:t>This term sheet is based on the Enhanced</w:t>
      </w:r>
      <w:r>
        <w:rPr>
          <w:rFonts w:eastAsia="Arial"/>
          <w:sz w:val="20"/>
          <w:szCs w:val="20"/>
        </w:rPr>
        <w:t xml:space="preserve"> </w:t>
      </w:r>
      <w:r w:rsidRPr="009570C7">
        <w:rPr>
          <w:rFonts w:eastAsia="Arial"/>
          <w:sz w:val="20"/>
          <w:szCs w:val="20"/>
        </w:rPr>
        <w:t>Model Term Sheet v3.0 published by the National Venture Capital Association.  The entire model term sheet can be found at https://www.aumni.fund/resources/new-enhanced-model-term-sheet-v3-0</w:t>
      </w:r>
    </w:p>
  </w:footnote>
  <w:footnote w:id="3">
    <w:p w14:paraId="3B96389C" w14:textId="77777777" w:rsidR="000B2393" w:rsidRDefault="000B2393" w:rsidP="003522A2">
      <w:pPr>
        <w:pStyle w:val="FootnoteText"/>
      </w:pPr>
      <w:r>
        <w:rPr>
          <w:rStyle w:val="FootnoteReference"/>
        </w:rPr>
        <w:footnoteRef/>
      </w:r>
      <w:r>
        <w:tab/>
        <w:t>Convertible instruments that convert at a discount may provide for a “shadow” or “subseries” of Preferred that is identical to the new round security except with respect to the amount received on liquidation, so that in a downside exit scenario all investors are at best only getting their money back.  Be clear in the term sheet whether the shares issued on conversion are part of the pre-money capitalization or post-money capitalization.</w:t>
      </w:r>
    </w:p>
  </w:footnote>
  <w:footnote w:id="4">
    <w:p w14:paraId="1CA96F3D" w14:textId="77777777" w:rsidR="000B2393" w:rsidRDefault="000B2393" w:rsidP="003522A2">
      <w:pPr>
        <w:pStyle w:val="FootnoteText"/>
      </w:pPr>
      <w:r w:rsidRPr="00320527">
        <w:rPr>
          <w:rStyle w:val="FootnoteReference"/>
          <w:szCs w:val="24"/>
        </w:rPr>
        <w:footnoteRef/>
      </w:r>
      <w:r>
        <w:rPr>
          <w:szCs w:val="24"/>
        </w:rPr>
        <w:tab/>
      </w:r>
      <w:r w:rsidRPr="00DC6329">
        <w:t xml:space="preserve">See </w:t>
      </w:r>
      <w:r w:rsidRPr="005A10C1">
        <w:rPr>
          <w:u w:val="single"/>
        </w:rPr>
        <w:t>Sections 4.4.1(</w:t>
      </w:r>
      <w:r>
        <w:rPr>
          <w:u w:val="single"/>
        </w:rPr>
        <w:t>a</w:t>
      </w:r>
      <w:r w:rsidRPr="005A10C1">
        <w:rPr>
          <w:u w:val="single"/>
        </w:rPr>
        <w:t>)(v)-(viii)</w:t>
      </w:r>
      <w:r>
        <w:t xml:space="preserve"> of the </w:t>
      </w:r>
      <w:r w:rsidRPr="00DC6329">
        <w:t>Model Certificate of Incorporation for additional exclusions</w:t>
      </w:r>
      <w:r>
        <w:t>; consider building into the term sheet to avoid later “negotiation”</w:t>
      </w:r>
      <w:r w:rsidRPr="00DC6329">
        <w:t>.</w:t>
      </w:r>
    </w:p>
  </w:footnote>
  <w:footnote w:id="5">
    <w:p w14:paraId="4BFC64C5" w14:textId="062E3490" w:rsidR="000B2393" w:rsidRPr="000C2693" w:rsidRDefault="000B2393" w:rsidP="003522A2">
      <w:pPr>
        <w:pStyle w:val="FootnoteText"/>
      </w:pPr>
      <w:r w:rsidRPr="00320527">
        <w:rPr>
          <w:rStyle w:val="FootnoteReference"/>
          <w:szCs w:val="24"/>
        </w:rPr>
        <w:footnoteRef/>
      </w:r>
      <w:r>
        <w:rPr>
          <w:szCs w:val="24"/>
        </w:rPr>
        <w:tab/>
      </w:r>
      <w:r w:rsidR="00100807" w:rsidRPr="00100807">
        <w:t>To be considered in order to address issues under the Defense Production Act of 1950 and related regulations (DPA).  Relevant representations may include whether or not a company works with “critical technologies” within the meaning of the DPA, whether a company has operations or activities in particular sectors of the U.S. economy or in the U.S. at all, whether a Company stores or maintains certain types of data, whether an Investor is foreign, and whether an Investor has foreign government relationships, among others</w:t>
      </w:r>
      <w:r>
        <w:t>.</w:t>
      </w:r>
    </w:p>
  </w:footnote>
  <w:footnote w:id="6">
    <w:p w14:paraId="2287787F" w14:textId="77777777" w:rsidR="000B2393" w:rsidRDefault="000B2393" w:rsidP="003522A2">
      <w:pPr>
        <w:pStyle w:val="FootnoteText"/>
      </w:pPr>
      <w:r w:rsidRPr="00320527">
        <w:rPr>
          <w:rStyle w:val="FootnoteReference"/>
          <w:szCs w:val="24"/>
        </w:rPr>
        <w:footnoteRef/>
      </w:r>
      <w:r>
        <w:tab/>
        <w:t xml:space="preserve">Certain exceptions are typically negotiated, </w:t>
      </w:r>
      <w:r w:rsidRPr="00D61B37">
        <w:rPr>
          <w:i/>
        </w:rPr>
        <w:t>e.g.</w:t>
      </w:r>
      <w:r>
        <w:t xml:space="preserve">, estate planning or </w:t>
      </w:r>
      <w:r>
        <w:rPr>
          <w:i/>
          <w:iCs/>
        </w:rPr>
        <w:t xml:space="preserve">de minimis </w:t>
      </w:r>
      <w:r>
        <w:t>transfers</w:t>
      </w:r>
      <w:r w:rsidRPr="001D263D">
        <w:t xml:space="preserve">.  Investors may also seek ROFR rights with respect to transfers by </w:t>
      </w:r>
      <w:r w:rsidRPr="00320527">
        <w:t>investors</w:t>
      </w:r>
      <w:r w:rsidRPr="001D263D">
        <w:t>, in order to be able to have some control over the composition of the investor group.</w:t>
      </w:r>
    </w:p>
  </w:footnote>
  <w:footnote w:id="7">
    <w:p w14:paraId="457F53F6" w14:textId="77777777" w:rsidR="000B2393" w:rsidRDefault="000B2393" w:rsidP="003522A2">
      <w:pPr>
        <w:pStyle w:val="FootnoteText"/>
      </w:pPr>
      <w:r>
        <w:rPr>
          <w:rStyle w:val="FootnoteReference"/>
        </w:rPr>
        <w:footnoteRef/>
      </w:r>
      <w:r>
        <w:tab/>
        <w:t>Most founders’ shares are already subject to vesting; consider what level of vesting is appropriate and revise to marry up.  Investors may also conclude not to change founder vesting.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3335" w14:textId="77777777" w:rsidR="000B2393" w:rsidRDefault="000B2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76"/>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B7"/>
    <w:rsid w:val="00000366"/>
    <w:rsid w:val="0001167E"/>
    <w:rsid w:val="0001290F"/>
    <w:rsid w:val="00032872"/>
    <w:rsid w:val="00040B2A"/>
    <w:rsid w:val="000410C7"/>
    <w:rsid w:val="0005286D"/>
    <w:rsid w:val="00053E5D"/>
    <w:rsid w:val="000574E6"/>
    <w:rsid w:val="00062838"/>
    <w:rsid w:val="000630B5"/>
    <w:rsid w:val="000639C6"/>
    <w:rsid w:val="00063E6A"/>
    <w:rsid w:val="00070C15"/>
    <w:rsid w:val="00082C17"/>
    <w:rsid w:val="00086BFC"/>
    <w:rsid w:val="000A71C9"/>
    <w:rsid w:val="000B2393"/>
    <w:rsid w:val="000B45EE"/>
    <w:rsid w:val="000C2389"/>
    <w:rsid w:val="000C2693"/>
    <w:rsid w:val="000C482B"/>
    <w:rsid w:val="000C50A0"/>
    <w:rsid w:val="000D5DF8"/>
    <w:rsid w:val="000D7626"/>
    <w:rsid w:val="000E47CC"/>
    <w:rsid w:val="000F2504"/>
    <w:rsid w:val="000F2802"/>
    <w:rsid w:val="000F4A46"/>
    <w:rsid w:val="000F6A34"/>
    <w:rsid w:val="000F747B"/>
    <w:rsid w:val="00100807"/>
    <w:rsid w:val="001023E3"/>
    <w:rsid w:val="001229A1"/>
    <w:rsid w:val="00130795"/>
    <w:rsid w:val="00133F3B"/>
    <w:rsid w:val="00142005"/>
    <w:rsid w:val="00155E03"/>
    <w:rsid w:val="001657D5"/>
    <w:rsid w:val="00170381"/>
    <w:rsid w:val="001723FD"/>
    <w:rsid w:val="001755BA"/>
    <w:rsid w:val="00180B87"/>
    <w:rsid w:val="0018187D"/>
    <w:rsid w:val="00196D18"/>
    <w:rsid w:val="001A0F46"/>
    <w:rsid w:val="001A35B9"/>
    <w:rsid w:val="001C1C86"/>
    <w:rsid w:val="001C21B2"/>
    <w:rsid w:val="001C2A0C"/>
    <w:rsid w:val="001C73AD"/>
    <w:rsid w:val="001D263D"/>
    <w:rsid w:val="001D419F"/>
    <w:rsid w:val="001D43B1"/>
    <w:rsid w:val="001D5835"/>
    <w:rsid w:val="00204942"/>
    <w:rsid w:val="00206539"/>
    <w:rsid w:val="0021075F"/>
    <w:rsid w:val="00215E79"/>
    <w:rsid w:val="002301A3"/>
    <w:rsid w:val="0023096F"/>
    <w:rsid w:val="00232676"/>
    <w:rsid w:val="00241B31"/>
    <w:rsid w:val="002426A2"/>
    <w:rsid w:val="002435AF"/>
    <w:rsid w:val="0024580D"/>
    <w:rsid w:val="00253C3E"/>
    <w:rsid w:val="00254247"/>
    <w:rsid w:val="0026597A"/>
    <w:rsid w:val="00266C90"/>
    <w:rsid w:val="00280741"/>
    <w:rsid w:val="00281191"/>
    <w:rsid w:val="00281EB2"/>
    <w:rsid w:val="00290E7C"/>
    <w:rsid w:val="002928C0"/>
    <w:rsid w:val="002A3301"/>
    <w:rsid w:val="002B4D23"/>
    <w:rsid w:val="002B663D"/>
    <w:rsid w:val="002C03B6"/>
    <w:rsid w:val="002C5F22"/>
    <w:rsid w:val="002D2AA4"/>
    <w:rsid w:val="002E03C3"/>
    <w:rsid w:val="002E0640"/>
    <w:rsid w:val="002E133F"/>
    <w:rsid w:val="002E7F5D"/>
    <w:rsid w:val="002F0CEF"/>
    <w:rsid w:val="002F1C1A"/>
    <w:rsid w:val="00301CB6"/>
    <w:rsid w:val="003040F8"/>
    <w:rsid w:val="0030526A"/>
    <w:rsid w:val="00307D55"/>
    <w:rsid w:val="00312BD8"/>
    <w:rsid w:val="00320527"/>
    <w:rsid w:val="0032111D"/>
    <w:rsid w:val="00322FB7"/>
    <w:rsid w:val="003260CE"/>
    <w:rsid w:val="00327B17"/>
    <w:rsid w:val="00327F41"/>
    <w:rsid w:val="00337308"/>
    <w:rsid w:val="0034008D"/>
    <w:rsid w:val="00340D4F"/>
    <w:rsid w:val="00351503"/>
    <w:rsid w:val="003522A2"/>
    <w:rsid w:val="003546AB"/>
    <w:rsid w:val="00356EE7"/>
    <w:rsid w:val="00365460"/>
    <w:rsid w:val="003800C9"/>
    <w:rsid w:val="00385395"/>
    <w:rsid w:val="00394E95"/>
    <w:rsid w:val="00395A10"/>
    <w:rsid w:val="003A0134"/>
    <w:rsid w:val="003A1718"/>
    <w:rsid w:val="003A2617"/>
    <w:rsid w:val="003A4550"/>
    <w:rsid w:val="003A6F3B"/>
    <w:rsid w:val="003A75ED"/>
    <w:rsid w:val="003A7E38"/>
    <w:rsid w:val="003B0889"/>
    <w:rsid w:val="003B12B9"/>
    <w:rsid w:val="003B2FC7"/>
    <w:rsid w:val="003B39F4"/>
    <w:rsid w:val="003B3F3D"/>
    <w:rsid w:val="003C368B"/>
    <w:rsid w:val="003C3C93"/>
    <w:rsid w:val="003C46D5"/>
    <w:rsid w:val="003D05A3"/>
    <w:rsid w:val="003D1533"/>
    <w:rsid w:val="003F1BCA"/>
    <w:rsid w:val="003F637F"/>
    <w:rsid w:val="004107ED"/>
    <w:rsid w:val="00414687"/>
    <w:rsid w:val="004146A9"/>
    <w:rsid w:val="0041633D"/>
    <w:rsid w:val="004212DF"/>
    <w:rsid w:val="004302C1"/>
    <w:rsid w:val="00436E26"/>
    <w:rsid w:val="0045475A"/>
    <w:rsid w:val="00456DA2"/>
    <w:rsid w:val="00460C09"/>
    <w:rsid w:val="00460F94"/>
    <w:rsid w:val="00462A69"/>
    <w:rsid w:val="0047175B"/>
    <w:rsid w:val="00474AEF"/>
    <w:rsid w:val="00480551"/>
    <w:rsid w:val="004918AB"/>
    <w:rsid w:val="00491B42"/>
    <w:rsid w:val="0049371B"/>
    <w:rsid w:val="004977DB"/>
    <w:rsid w:val="004A0CA4"/>
    <w:rsid w:val="004B036D"/>
    <w:rsid w:val="004B69DF"/>
    <w:rsid w:val="004C0B1A"/>
    <w:rsid w:val="004C246B"/>
    <w:rsid w:val="004C41EB"/>
    <w:rsid w:val="004C7741"/>
    <w:rsid w:val="004D3851"/>
    <w:rsid w:val="004D4503"/>
    <w:rsid w:val="004E5D19"/>
    <w:rsid w:val="004E7D96"/>
    <w:rsid w:val="004F02CD"/>
    <w:rsid w:val="004F653C"/>
    <w:rsid w:val="00500087"/>
    <w:rsid w:val="00504294"/>
    <w:rsid w:val="005128E9"/>
    <w:rsid w:val="0052577E"/>
    <w:rsid w:val="00525815"/>
    <w:rsid w:val="00530B87"/>
    <w:rsid w:val="0053643B"/>
    <w:rsid w:val="00546715"/>
    <w:rsid w:val="005511C0"/>
    <w:rsid w:val="005569D5"/>
    <w:rsid w:val="00563B77"/>
    <w:rsid w:val="00564867"/>
    <w:rsid w:val="0057747B"/>
    <w:rsid w:val="005827DA"/>
    <w:rsid w:val="00584602"/>
    <w:rsid w:val="00587536"/>
    <w:rsid w:val="0059350D"/>
    <w:rsid w:val="005A10C1"/>
    <w:rsid w:val="005A206A"/>
    <w:rsid w:val="005A4046"/>
    <w:rsid w:val="005B1515"/>
    <w:rsid w:val="005C3A13"/>
    <w:rsid w:val="005C6A15"/>
    <w:rsid w:val="005D0D9D"/>
    <w:rsid w:val="005D1161"/>
    <w:rsid w:val="005D4D01"/>
    <w:rsid w:val="005E1705"/>
    <w:rsid w:val="005E186E"/>
    <w:rsid w:val="005E254D"/>
    <w:rsid w:val="005E4073"/>
    <w:rsid w:val="005F056F"/>
    <w:rsid w:val="005F69EA"/>
    <w:rsid w:val="006150E0"/>
    <w:rsid w:val="00615C3C"/>
    <w:rsid w:val="00616DB2"/>
    <w:rsid w:val="006236A6"/>
    <w:rsid w:val="00624681"/>
    <w:rsid w:val="00647E15"/>
    <w:rsid w:val="00647F75"/>
    <w:rsid w:val="006519AF"/>
    <w:rsid w:val="00662DB6"/>
    <w:rsid w:val="00665C57"/>
    <w:rsid w:val="00670B16"/>
    <w:rsid w:val="00676F0E"/>
    <w:rsid w:val="00681303"/>
    <w:rsid w:val="00682930"/>
    <w:rsid w:val="00684D4B"/>
    <w:rsid w:val="006922B4"/>
    <w:rsid w:val="00692AC6"/>
    <w:rsid w:val="00693ACA"/>
    <w:rsid w:val="0069644B"/>
    <w:rsid w:val="00697C56"/>
    <w:rsid w:val="006A7FA4"/>
    <w:rsid w:val="006B1012"/>
    <w:rsid w:val="006B3730"/>
    <w:rsid w:val="006B62E5"/>
    <w:rsid w:val="006C300D"/>
    <w:rsid w:val="006E132C"/>
    <w:rsid w:val="006E29B7"/>
    <w:rsid w:val="006E4B95"/>
    <w:rsid w:val="006E4EB5"/>
    <w:rsid w:val="006E7D61"/>
    <w:rsid w:val="006E7FB2"/>
    <w:rsid w:val="006F0EC4"/>
    <w:rsid w:val="00700479"/>
    <w:rsid w:val="00703706"/>
    <w:rsid w:val="0070521E"/>
    <w:rsid w:val="0070666B"/>
    <w:rsid w:val="00706FA5"/>
    <w:rsid w:val="007162B5"/>
    <w:rsid w:val="00727C1F"/>
    <w:rsid w:val="007329C1"/>
    <w:rsid w:val="00742F6E"/>
    <w:rsid w:val="00773200"/>
    <w:rsid w:val="00782E4B"/>
    <w:rsid w:val="00783A3D"/>
    <w:rsid w:val="007921A4"/>
    <w:rsid w:val="0079690E"/>
    <w:rsid w:val="00796EE6"/>
    <w:rsid w:val="00797C06"/>
    <w:rsid w:val="007A1699"/>
    <w:rsid w:val="007A4578"/>
    <w:rsid w:val="007B4392"/>
    <w:rsid w:val="007C7486"/>
    <w:rsid w:val="007D004E"/>
    <w:rsid w:val="007D5355"/>
    <w:rsid w:val="007D5909"/>
    <w:rsid w:val="007D6C26"/>
    <w:rsid w:val="007D7D92"/>
    <w:rsid w:val="007E4123"/>
    <w:rsid w:val="007E76AB"/>
    <w:rsid w:val="007F60FB"/>
    <w:rsid w:val="00800352"/>
    <w:rsid w:val="0080697D"/>
    <w:rsid w:val="00812523"/>
    <w:rsid w:val="00816105"/>
    <w:rsid w:val="00822D2F"/>
    <w:rsid w:val="00825BAE"/>
    <w:rsid w:val="008315CD"/>
    <w:rsid w:val="00840A20"/>
    <w:rsid w:val="008447FF"/>
    <w:rsid w:val="008453D3"/>
    <w:rsid w:val="00854C89"/>
    <w:rsid w:val="0085573F"/>
    <w:rsid w:val="008640DA"/>
    <w:rsid w:val="0088542E"/>
    <w:rsid w:val="0088600A"/>
    <w:rsid w:val="0088650C"/>
    <w:rsid w:val="008902AB"/>
    <w:rsid w:val="008A1E64"/>
    <w:rsid w:val="008A4AAE"/>
    <w:rsid w:val="008A6465"/>
    <w:rsid w:val="008B36A1"/>
    <w:rsid w:val="008B580D"/>
    <w:rsid w:val="008C16ED"/>
    <w:rsid w:val="008C2083"/>
    <w:rsid w:val="008C2FB4"/>
    <w:rsid w:val="008D116F"/>
    <w:rsid w:val="008D2BE1"/>
    <w:rsid w:val="008D5553"/>
    <w:rsid w:val="008E52F2"/>
    <w:rsid w:val="008F1E04"/>
    <w:rsid w:val="008F4C6A"/>
    <w:rsid w:val="008F7A92"/>
    <w:rsid w:val="00907CF8"/>
    <w:rsid w:val="00910C43"/>
    <w:rsid w:val="00917CD0"/>
    <w:rsid w:val="009308B1"/>
    <w:rsid w:val="0093477E"/>
    <w:rsid w:val="009467DE"/>
    <w:rsid w:val="00953242"/>
    <w:rsid w:val="00956268"/>
    <w:rsid w:val="009564AB"/>
    <w:rsid w:val="009570C7"/>
    <w:rsid w:val="0096183A"/>
    <w:rsid w:val="00962FE3"/>
    <w:rsid w:val="009644A2"/>
    <w:rsid w:val="00970584"/>
    <w:rsid w:val="009720C1"/>
    <w:rsid w:val="00974B53"/>
    <w:rsid w:val="00984368"/>
    <w:rsid w:val="009A180E"/>
    <w:rsid w:val="009A6AAB"/>
    <w:rsid w:val="009A7ADD"/>
    <w:rsid w:val="009B1DB2"/>
    <w:rsid w:val="009B379B"/>
    <w:rsid w:val="009B5ACD"/>
    <w:rsid w:val="009B6F9E"/>
    <w:rsid w:val="009C57BD"/>
    <w:rsid w:val="009C5922"/>
    <w:rsid w:val="009D3D77"/>
    <w:rsid w:val="009E3762"/>
    <w:rsid w:val="009F1E5A"/>
    <w:rsid w:val="00A01DFF"/>
    <w:rsid w:val="00A0235C"/>
    <w:rsid w:val="00A11C70"/>
    <w:rsid w:val="00A172E2"/>
    <w:rsid w:val="00A24DAA"/>
    <w:rsid w:val="00A27F4D"/>
    <w:rsid w:val="00A34DE3"/>
    <w:rsid w:val="00A359EC"/>
    <w:rsid w:val="00A418E0"/>
    <w:rsid w:val="00A41E1E"/>
    <w:rsid w:val="00A4712B"/>
    <w:rsid w:val="00A5096C"/>
    <w:rsid w:val="00A53FB5"/>
    <w:rsid w:val="00A5576C"/>
    <w:rsid w:val="00A57F64"/>
    <w:rsid w:val="00A66191"/>
    <w:rsid w:val="00A70B60"/>
    <w:rsid w:val="00A712DD"/>
    <w:rsid w:val="00A72197"/>
    <w:rsid w:val="00A779CB"/>
    <w:rsid w:val="00A80A0D"/>
    <w:rsid w:val="00A82FC4"/>
    <w:rsid w:val="00A8700E"/>
    <w:rsid w:val="00A9079A"/>
    <w:rsid w:val="00A918A1"/>
    <w:rsid w:val="00A939CA"/>
    <w:rsid w:val="00AB14C5"/>
    <w:rsid w:val="00AB3CB8"/>
    <w:rsid w:val="00AB7859"/>
    <w:rsid w:val="00AC253D"/>
    <w:rsid w:val="00AD0C3D"/>
    <w:rsid w:val="00AD3A18"/>
    <w:rsid w:val="00AD7CE8"/>
    <w:rsid w:val="00AE2187"/>
    <w:rsid w:val="00AE3DFE"/>
    <w:rsid w:val="00AE5B17"/>
    <w:rsid w:val="00AE60D4"/>
    <w:rsid w:val="00AE7729"/>
    <w:rsid w:val="00B00CB3"/>
    <w:rsid w:val="00B00D9E"/>
    <w:rsid w:val="00B11166"/>
    <w:rsid w:val="00B17B25"/>
    <w:rsid w:val="00B251B3"/>
    <w:rsid w:val="00B25951"/>
    <w:rsid w:val="00B347C7"/>
    <w:rsid w:val="00B351F6"/>
    <w:rsid w:val="00B400EA"/>
    <w:rsid w:val="00B44C2E"/>
    <w:rsid w:val="00B53AA5"/>
    <w:rsid w:val="00B563D6"/>
    <w:rsid w:val="00B57404"/>
    <w:rsid w:val="00B62388"/>
    <w:rsid w:val="00B6250A"/>
    <w:rsid w:val="00B63661"/>
    <w:rsid w:val="00B65A9F"/>
    <w:rsid w:val="00B65B8D"/>
    <w:rsid w:val="00B65E73"/>
    <w:rsid w:val="00B67A62"/>
    <w:rsid w:val="00B67DF6"/>
    <w:rsid w:val="00B71D49"/>
    <w:rsid w:val="00B77674"/>
    <w:rsid w:val="00B826D2"/>
    <w:rsid w:val="00B83828"/>
    <w:rsid w:val="00B83D7E"/>
    <w:rsid w:val="00B86DBE"/>
    <w:rsid w:val="00B902CC"/>
    <w:rsid w:val="00B90E7E"/>
    <w:rsid w:val="00B97CD0"/>
    <w:rsid w:val="00BA7A1D"/>
    <w:rsid w:val="00BB1DF9"/>
    <w:rsid w:val="00BB1F49"/>
    <w:rsid w:val="00BB462C"/>
    <w:rsid w:val="00BB4EA4"/>
    <w:rsid w:val="00BB5D58"/>
    <w:rsid w:val="00BC773B"/>
    <w:rsid w:val="00BC7AFA"/>
    <w:rsid w:val="00BD1974"/>
    <w:rsid w:val="00BE5D31"/>
    <w:rsid w:val="00BE60A1"/>
    <w:rsid w:val="00BF2CD3"/>
    <w:rsid w:val="00BF3C12"/>
    <w:rsid w:val="00C00599"/>
    <w:rsid w:val="00C05F47"/>
    <w:rsid w:val="00C131B6"/>
    <w:rsid w:val="00C13829"/>
    <w:rsid w:val="00C2524C"/>
    <w:rsid w:val="00C31E05"/>
    <w:rsid w:val="00C32261"/>
    <w:rsid w:val="00C3581A"/>
    <w:rsid w:val="00C50568"/>
    <w:rsid w:val="00C50A48"/>
    <w:rsid w:val="00C63D01"/>
    <w:rsid w:val="00C65475"/>
    <w:rsid w:val="00C86942"/>
    <w:rsid w:val="00C8767E"/>
    <w:rsid w:val="00C9684F"/>
    <w:rsid w:val="00C97125"/>
    <w:rsid w:val="00CA4A4A"/>
    <w:rsid w:val="00CA5AFD"/>
    <w:rsid w:val="00CA6930"/>
    <w:rsid w:val="00CB4BE3"/>
    <w:rsid w:val="00CC0567"/>
    <w:rsid w:val="00CC326B"/>
    <w:rsid w:val="00CC687F"/>
    <w:rsid w:val="00CD11D8"/>
    <w:rsid w:val="00CD1931"/>
    <w:rsid w:val="00CD2E6E"/>
    <w:rsid w:val="00CE1E93"/>
    <w:rsid w:val="00CE2869"/>
    <w:rsid w:val="00CE2A94"/>
    <w:rsid w:val="00CE4E17"/>
    <w:rsid w:val="00CE6912"/>
    <w:rsid w:val="00CF44B5"/>
    <w:rsid w:val="00CF4FDB"/>
    <w:rsid w:val="00CF7720"/>
    <w:rsid w:val="00D02D84"/>
    <w:rsid w:val="00D064A0"/>
    <w:rsid w:val="00D11437"/>
    <w:rsid w:val="00D118FF"/>
    <w:rsid w:val="00D11DB7"/>
    <w:rsid w:val="00D14B2B"/>
    <w:rsid w:val="00D1765A"/>
    <w:rsid w:val="00D218E3"/>
    <w:rsid w:val="00D3139F"/>
    <w:rsid w:val="00D33DB7"/>
    <w:rsid w:val="00D359A0"/>
    <w:rsid w:val="00D439CC"/>
    <w:rsid w:val="00D450B4"/>
    <w:rsid w:val="00D52EB4"/>
    <w:rsid w:val="00D54926"/>
    <w:rsid w:val="00D61B37"/>
    <w:rsid w:val="00D76917"/>
    <w:rsid w:val="00D83E4C"/>
    <w:rsid w:val="00D90F45"/>
    <w:rsid w:val="00D97F5E"/>
    <w:rsid w:val="00DA164D"/>
    <w:rsid w:val="00DB4821"/>
    <w:rsid w:val="00DC2D1A"/>
    <w:rsid w:val="00DC55ED"/>
    <w:rsid w:val="00DC6329"/>
    <w:rsid w:val="00DC7B51"/>
    <w:rsid w:val="00DD2457"/>
    <w:rsid w:val="00DD4583"/>
    <w:rsid w:val="00DE0A5C"/>
    <w:rsid w:val="00DE2BE2"/>
    <w:rsid w:val="00DE6F03"/>
    <w:rsid w:val="00DF2F35"/>
    <w:rsid w:val="00DF4787"/>
    <w:rsid w:val="00E04896"/>
    <w:rsid w:val="00E06628"/>
    <w:rsid w:val="00E15037"/>
    <w:rsid w:val="00E15620"/>
    <w:rsid w:val="00E21AB8"/>
    <w:rsid w:val="00E21D49"/>
    <w:rsid w:val="00E27EE3"/>
    <w:rsid w:val="00E319E7"/>
    <w:rsid w:val="00E41BCE"/>
    <w:rsid w:val="00E545FF"/>
    <w:rsid w:val="00E56E2D"/>
    <w:rsid w:val="00E628D6"/>
    <w:rsid w:val="00E66BCF"/>
    <w:rsid w:val="00E6724C"/>
    <w:rsid w:val="00E70179"/>
    <w:rsid w:val="00E714E9"/>
    <w:rsid w:val="00E74523"/>
    <w:rsid w:val="00E76271"/>
    <w:rsid w:val="00E83EC4"/>
    <w:rsid w:val="00E919DC"/>
    <w:rsid w:val="00E9372E"/>
    <w:rsid w:val="00EA4757"/>
    <w:rsid w:val="00EB7078"/>
    <w:rsid w:val="00EC4150"/>
    <w:rsid w:val="00EC6B3A"/>
    <w:rsid w:val="00ED05D4"/>
    <w:rsid w:val="00ED3548"/>
    <w:rsid w:val="00ED4539"/>
    <w:rsid w:val="00ED7265"/>
    <w:rsid w:val="00EE3114"/>
    <w:rsid w:val="00EE6BB3"/>
    <w:rsid w:val="00EE777F"/>
    <w:rsid w:val="00EE7AA6"/>
    <w:rsid w:val="00EE7E4A"/>
    <w:rsid w:val="00F03A00"/>
    <w:rsid w:val="00F118F7"/>
    <w:rsid w:val="00F17563"/>
    <w:rsid w:val="00F277F4"/>
    <w:rsid w:val="00F35817"/>
    <w:rsid w:val="00F433EE"/>
    <w:rsid w:val="00F43C60"/>
    <w:rsid w:val="00F5424E"/>
    <w:rsid w:val="00F57372"/>
    <w:rsid w:val="00F64D63"/>
    <w:rsid w:val="00F71DAC"/>
    <w:rsid w:val="00F7229E"/>
    <w:rsid w:val="00F722C8"/>
    <w:rsid w:val="00F74185"/>
    <w:rsid w:val="00F759C2"/>
    <w:rsid w:val="00F9159B"/>
    <w:rsid w:val="00F928AF"/>
    <w:rsid w:val="00FC07F7"/>
    <w:rsid w:val="00FC1137"/>
    <w:rsid w:val="00FC2BA6"/>
    <w:rsid w:val="00FC2CF6"/>
    <w:rsid w:val="00FD11AA"/>
    <w:rsid w:val="00FD57EE"/>
    <w:rsid w:val="00FF28C3"/>
    <w:rsid w:val="00FF6355"/>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12FCB7"/>
  <w15:chartTrackingRefBased/>
  <w15:docId w15:val="{AA0E0B76-FAB6-4961-A839-5ED15F2D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527"/>
    <w:pPr>
      <w:autoSpaceDE w:val="0"/>
      <w:autoSpaceDN w:val="0"/>
      <w:adjustRightInd w:val="0"/>
    </w:pPr>
    <w:rPr>
      <w:sz w:val="24"/>
      <w:szCs w:val="24"/>
      <w:lang w:eastAsia="ja-JP"/>
    </w:rPr>
  </w:style>
  <w:style w:type="paragraph" w:styleId="Heading1">
    <w:name w:val="heading 1"/>
    <w:basedOn w:val="Normal"/>
    <w:next w:val="BodyText"/>
    <w:qFormat/>
    <w:pPr>
      <w:keepNext/>
      <w:keepLines/>
      <w:spacing w:before="240" w:line="240" w:lineRule="exact"/>
      <w:ind w:right="720"/>
      <w:jc w:val="center"/>
      <w:outlineLvl w:val="0"/>
    </w:pPr>
    <w:rPr>
      <w:caps/>
    </w:rPr>
  </w:style>
  <w:style w:type="paragraph" w:styleId="Heading2">
    <w:name w:val="heading 2"/>
    <w:basedOn w:val="Normal"/>
    <w:next w:val="Normal"/>
    <w:link w:val="Heading2Char"/>
    <w:qFormat/>
    <w:rsid w:val="005D4D01"/>
    <w:pPr>
      <w:keepNext/>
      <w:keepLines/>
      <w:spacing w:after="120"/>
      <w:ind w:right="720"/>
      <w:outlineLvl w:val="1"/>
    </w:pPr>
    <w:rPr>
      <w:rFonts w:ascii="Arial" w:eastAsia="Arial" w:hAnsi="Arial" w:cstheme="majorBidi"/>
      <w:bCs/>
      <w:color w:val="2F5496" w:themeColor="accent1" w:themeShade="BF"/>
      <w:sz w:val="36"/>
    </w:rPr>
  </w:style>
  <w:style w:type="paragraph" w:styleId="Heading3">
    <w:name w:val="heading 3"/>
    <w:basedOn w:val="Normal"/>
    <w:next w:val="Normal"/>
    <w:link w:val="Heading3Char"/>
    <w:qFormat/>
    <w:rsid w:val="005D4D01"/>
    <w:pPr>
      <w:outlineLvl w:val="2"/>
    </w:pPr>
    <w:rPr>
      <w:i/>
      <w:iCs/>
      <w:color w:val="0070C0"/>
    </w:rPr>
  </w:style>
  <w:style w:type="paragraph" w:styleId="Heading4">
    <w:name w:val="heading 4"/>
    <w:basedOn w:val="Normal"/>
    <w:next w:val="Normal"/>
    <w:link w:val="Heading4Char"/>
    <w:qFormat/>
    <w:rsid w:val="008D5553"/>
    <w:pPr>
      <w:keepNext/>
      <w:keepLines/>
      <w:spacing w:before="40" w:after="16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10440"/>
      </w:tabs>
    </w:pPr>
  </w:style>
  <w:style w:type="paragraph" w:styleId="BodyText">
    <w:name w:val="Body Text"/>
    <w:basedOn w:val="Normal"/>
    <w:rsid w:val="00FD57EE"/>
    <w:pPr>
      <w:widowControl w:val="0"/>
      <w:spacing w:after="240"/>
      <w:ind w:firstLine="720"/>
      <w:jc w:val="both"/>
    </w:pPr>
  </w:style>
  <w:style w:type="character" w:styleId="FootnoteReference">
    <w:name w:val="footnote reference"/>
    <w:rsid w:val="00320527"/>
    <w:rPr>
      <w:rFonts w:ascii="Times New Roman" w:hAnsi="Times New Roman"/>
      <w:spacing w:val="0"/>
      <w:sz w:val="20"/>
      <w:vertAlign w:val="superscript"/>
    </w:rPr>
  </w:style>
  <w:style w:type="paragraph" w:styleId="FootnoteText">
    <w:name w:val="footnote text"/>
    <w:basedOn w:val="Normal"/>
    <w:rsid w:val="003522A2"/>
    <w:pPr>
      <w:tabs>
        <w:tab w:val="left" w:pos="360"/>
      </w:tabs>
      <w:spacing w:after="60"/>
      <w:jc w:val="both"/>
    </w:pPr>
    <w:rPr>
      <w:sz w:val="20"/>
      <w:szCs w:val="20"/>
    </w:rPr>
  </w:style>
  <w:style w:type="paragraph" w:customStyle="1" w:styleId="TableText">
    <w:name w:val="Table Text"/>
    <w:basedOn w:val="Normal"/>
    <w:rsid w:val="00FD57EE"/>
    <w:pPr>
      <w:tabs>
        <w:tab w:val="left" w:pos="432"/>
      </w:tabs>
      <w:suppressAutoHyphens/>
      <w:spacing w:after="240"/>
      <w:jc w:val="both"/>
    </w:pPr>
  </w:style>
  <w:style w:type="paragraph" w:customStyle="1" w:styleId="TableTextBU">
    <w:name w:val="Table Text BU"/>
    <w:basedOn w:val="TableText"/>
    <w:rsid w:val="00FD57EE"/>
    <w:pPr>
      <w:keepNext/>
      <w:jc w:val="center"/>
    </w:pPr>
    <w:rPr>
      <w:b/>
      <w:bCs/>
      <w:u w:val="single"/>
    </w:rPr>
  </w:style>
  <w:style w:type="paragraph" w:customStyle="1" w:styleId="TableItalics">
    <w:name w:val="Table Italics"/>
    <w:basedOn w:val="TableText"/>
    <w:rsid w:val="00FD57EE"/>
    <w:pPr>
      <w:jc w:val="left"/>
    </w:pPr>
    <w:rPr>
      <w:i/>
      <w:iCs/>
    </w:rPr>
  </w:style>
  <w:style w:type="paragraph" w:styleId="BodyText2">
    <w:name w:val="Body Text 2"/>
    <w:basedOn w:val="Normal"/>
    <w:link w:val="BodyText2Char"/>
    <w:rPr>
      <w:sz w:val="22"/>
      <w:szCs w:val="22"/>
    </w:rPr>
  </w:style>
  <w:style w:type="character" w:customStyle="1" w:styleId="BodyText2Char">
    <w:name w:val="Body Text 2 Char"/>
    <w:link w:val="BodyText2"/>
    <w:rsid w:val="00A11C70"/>
    <w:rPr>
      <w:sz w:val="22"/>
      <w:szCs w:val="22"/>
      <w:lang w:eastAsia="ja-JP"/>
    </w:rPr>
  </w:style>
  <w:style w:type="character" w:customStyle="1" w:styleId="FooterChar">
    <w:name w:val="Footer Char"/>
    <w:link w:val="Footer"/>
    <w:uiPriority w:val="99"/>
    <w:rsid w:val="00E66BCF"/>
    <w:rPr>
      <w:sz w:val="24"/>
      <w:szCs w:val="24"/>
      <w:lang w:eastAsia="ja-JP"/>
    </w:rPr>
  </w:style>
  <w:style w:type="paragraph" w:customStyle="1" w:styleId="TableItalicsIndent">
    <w:name w:val="Table Italics Indent"/>
    <w:basedOn w:val="TableItalics"/>
    <w:rsid w:val="00682930"/>
    <w:pPr>
      <w:ind w:left="360"/>
    </w:pPr>
  </w:style>
  <w:style w:type="paragraph" w:styleId="Header">
    <w:name w:val="header"/>
    <w:basedOn w:val="Normal"/>
    <w:link w:val="HeaderChar"/>
    <w:rsid w:val="00DD2457"/>
    <w:pPr>
      <w:tabs>
        <w:tab w:val="center" w:pos="4680"/>
        <w:tab w:val="right" w:pos="9360"/>
      </w:tabs>
    </w:pPr>
  </w:style>
  <w:style w:type="character" w:customStyle="1" w:styleId="HeaderChar">
    <w:name w:val="Header Char"/>
    <w:basedOn w:val="DefaultParagraphFont"/>
    <w:link w:val="Header"/>
    <w:rsid w:val="00DD2457"/>
    <w:rPr>
      <w:sz w:val="24"/>
      <w:szCs w:val="24"/>
      <w:lang w:eastAsia="ja-JP"/>
    </w:rPr>
  </w:style>
  <w:style w:type="character" w:styleId="PageNumber">
    <w:name w:val="page number"/>
    <w:basedOn w:val="DefaultParagraphFont"/>
    <w:uiPriority w:val="99"/>
    <w:rsid w:val="00DD2457"/>
  </w:style>
  <w:style w:type="character" w:styleId="Hyperlink">
    <w:name w:val="Hyperlink"/>
    <w:basedOn w:val="DefaultParagraphFont"/>
    <w:uiPriority w:val="99"/>
    <w:rsid w:val="00A418E0"/>
    <w:rPr>
      <w:color w:val="0563C1" w:themeColor="hyperlink"/>
      <w:u w:val="single"/>
    </w:rPr>
  </w:style>
  <w:style w:type="character" w:styleId="UnresolvedMention">
    <w:name w:val="Unresolved Mention"/>
    <w:basedOn w:val="DefaultParagraphFont"/>
    <w:uiPriority w:val="99"/>
    <w:semiHidden/>
    <w:unhideWhenUsed/>
    <w:rsid w:val="00A418E0"/>
    <w:rPr>
      <w:color w:val="605E5C"/>
      <w:shd w:val="clear" w:color="auto" w:fill="E1DFDD"/>
    </w:rPr>
  </w:style>
  <w:style w:type="paragraph" w:customStyle="1" w:styleId="Heading2-2">
    <w:name w:val="Heading 2-2"/>
    <w:basedOn w:val="Heading2"/>
    <w:link w:val="Heading2-2Char"/>
    <w:qFormat/>
    <w:rsid w:val="00FC1137"/>
    <w:pPr>
      <w:pBdr>
        <w:bottom w:val="single" w:sz="4" w:space="1" w:color="BFBFBF" w:themeColor="background1" w:themeShade="BF"/>
      </w:pBdr>
      <w:ind w:right="0"/>
    </w:pPr>
    <w:rPr>
      <w:b/>
      <w:bCs w:val="0"/>
      <w:color w:val="44546A" w:themeColor="text2"/>
      <w:sz w:val="28"/>
    </w:rPr>
  </w:style>
  <w:style w:type="character" w:customStyle="1" w:styleId="Heading2-2Char">
    <w:name w:val="Heading 2-2 Char"/>
    <w:basedOn w:val="Heading2Char"/>
    <w:link w:val="Heading2-2"/>
    <w:rsid w:val="00FC1137"/>
    <w:rPr>
      <w:rFonts w:ascii="Arial" w:eastAsia="Arial" w:hAnsi="Arial" w:cstheme="majorBidi"/>
      <w:b/>
      <w:bCs w:val="0"/>
      <w:color w:val="44546A" w:themeColor="text2"/>
      <w:sz w:val="28"/>
      <w:szCs w:val="24"/>
      <w:lang w:eastAsia="ja-JP"/>
    </w:rPr>
  </w:style>
  <w:style w:type="character" w:customStyle="1" w:styleId="Heading2Char">
    <w:name w:val="Heading 2 Char"/>
    <w:basedOn w:val="DefaultParagraphFont"/>
    <w:link w:val="Heading2"/>
    <w:rsid w:val="005D4D01"/>
    <w:rPr>
      <w:rFonts w:ascii="Arial" w:eastAsia="Arial" w:hAnsi="Arial" w:cstheme="majorBidi"/>
      <w:bCs/>
      <w:color w:val="2F5496" w:themeColor="accent1" w:themeShade="BF"/>
      <w:sz w:val="36"/>
      <w:szCs w:val="24"/>
      <w:lang w:eastAsia="ja-JP"/>
    </w:rPr>
  </w:style>
  <w:style w:type="character" w:customStyle="1" w:styleId="Heading4Char">
    <w:name w:val="Heading 4 Char"/>
    <w:basedOn w:val="DefaultParagraphFont"/>
    <w:link w:val="Heading4"/>
    <w:rsid w:val="008D5553"/>
    <w:rPr>
      <w:rFonts w:asciiTheme="majorHAnsi" w:eastAsiaTheme="majorEastAsia" w:hAnsiTheme="majorHAnsi" w:cstheme="majorBidi"/>
      <w:i/>
      <w:iCs/>
      <w:color w:val="2F5496" w:themeColor="accent1" w:themeShade="BF"/>
      <w:sz w:val="24"/>
      <w:szCs w:val="24"/>
      <w:lang w:eastAsia="ja-JP"/>
    </w:rPr>
  </w:style>
  <w:style w:type="paragraph" w:customStyle="1" w:styleId="Description">
    <w:name w:val="Description"/>
    <w:basedOn w:val="Normal"/>
    <w:link w:val="DescriptionChar"/>
    <w:qFormat/>
    <w:rsid w:val="005B1515"/>
    <w:pPr>
      <w:spacing w:before="120" w:after="120"/>
    </w:pPr>
    <w:rPr>
      <w:rFonts w:ascii="Arial" w:eastAsia="Arial" w:hAnsi="Arial"/>
      <w:i/>
      <w:color w:val="7F7F7F" w:themeColor="text1" w:themeTint="80"/>
      <w:sz w:val="18"/>
    </w:rPr>
  </w:style>
  <w:style w:type="character" w:customStyle="1" w:styleId="DescriptionChar">
    <w:name w:val="Description Char"/>
    <w:basedOn w:val="DefaultParagraphFont"/>
    <w:link w:val="Description"/>
    <w:rsid w:val="005B1515"/>
    <w:rPr>
      <w:rFonts w:ascii="Arial" w:eastAsia="Arial" w:hAnsi="Arial"/>
      <w:i/>
      <w:color w:val="7F7F7F" w:themeColor="text1" w:themeTint="80"/>
      <w:sz w:val="18"/>
      <w:szCs w:val="24"/>
      <w:lang w:eastAsia="ja-JP"/>
    </w:rPr>
  </w:style>
  <w:style w:type="paragraph" w:customStyle="1" w:styleId="Link">
    <w:name w:val="Link"/>
    <w:basedOn w:val="Normal"/>
    <w:next w:val="BodyText"/>
    <w:link w:val="LinkChar"/>
    <w:qFormat/>
    <w:rsid w:val="00693ACA"/>
    <w:rPr>
      <w:rFonts w:ascii="Arial" w:eastAsia="Arial" w:hAnsi="Arial"/>
      <w:i/>
      <w:color w:val="4472C4" w:themeColor="accent1"/>
      <w:sz w:val="20"/>
      <w:u w:val="words"/>
    </w:rPr>
  </w:style>
  <w:style w:type="character" w:customStyle="1" w:styleId="LinkChar">
    <w:name w:val="Link Char"/>
    <w:basedOn w:val="DefaultParagraphFont"/>
    <w:link w:val="Link"/>
    <w:rsid w:val="00693ACA"/>
    <w:rPr>
      <w:rFonts w:ascii="Arial" w:eastAsia="Arial" w:hAnsi="Arial"/>
      <w:i/>
      <w:color w:val="4472C4" w:themeColor="accent1"/>
      <w:szCs w:val="24"/>
      <w:u w:val="words"/>
      <w:lang w:eastAsia="ja-JP"/>
    </w:rPr>
  </w:style>
  <w:style w:type="character" w:styleId="FollowedHyperlink">
    <w:name w:val="FollowedHyperlink"/>
    <w:basedOn w:val="DefaultParagraphFont"/>
    <w:rsid w:val="005B1515"/>
    <w:rPr>
      <w:color w:val="954F72" w:themeColor="followedHyperlink"/>
      <w:u w:val="single"/>
    </w:rPr>
  </w:style>
  <w:style w:type="character" w:customStyle="1" w:styleId="Heading3Char">
    <w:name w:val="Heading 3 Char"/>
    <w:basedOn w:val="DefaultParagraphFont"/>
    <w:link w:val="Heading3"/>
    <w:rsid w:val="005D4D01"/>
    <w:rPr>
      <w:i/>
      <w:iCs/>
      <w:color w:val="0070C0"/>
      <w:sz w:val="24"/>
      <w:szCs w:val="24"/>
      <w:lang w:eastAsia="ja-JP"/>
    </w:rPr>
  </w:style>
  <w:style w:type="paragraph" w:styleId="TOCHeading">
    <w:name w:val="TOC Heading"/>
    <w:basedOn w:val="Heading1"/>
    <w:next w:val="Normal"/>
    <w:uiPriority w:val="39"/>
    <w:unhideWhenUsed/>
    <w:qFormat/>
    <w:rsid w:val="000B2393"/>
    <w:pPr>
      <w:autoSpaceDE/>
      <w:autoSpaceDN/>
      <w:adjustRightInd/>
      <w:spacing w:before="480" w:line="276" w:lineRule="auto"/>
      <w:ind w:right="0"/>
      <w:jc w:val="left"/>
      <w:outlineLvl w:val="9"/>
    </w:pPr>
    <w:rPr>
      <w:rFonts w:asciiTheme="majorHAnsi" w:eastAsiaTheme="majorEastAsia" w:hAnsiTheme="majorHAnsi" w:cstheme="majorBidi"/>
      <w:b/>
      <w:bCs/>
      <w:caps w:val="0"/>
      <w:color w:val="2F5496" w:themeColor="accent1" w:themeShade="BF"/>
      <w:sz w:val="28"/>
      <w:szCs w:val="28"/>
      <w:lang w:eastAsia="en-US"/>
    </w:rPr>
  </w:style>
  <w:style w:type="paragraph" w:styleId="TOC1">
    <w:name w:val="toc 1"/>
    <w:basedOn w:val="Normal"/>
    <w:next w:val="Normal"/>
    <w:autoRedefine/>
    <w:uiPriority w:val="39"/>
    <w:rsid w:val="000B2393"/>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rsid w:val="000B2393"/>
    <w:rPr>
      <w:rFonts w:asciiTheme="minorHAnsi" w:hAnsiTheme="minorHAnsi" w:cstheme="minorHAnsi"/>
      <w:b/>
      <w:bCs/>
      <w:smallCaps/>
      <w:sz w:val="22"/>
      <w:szCs w:val="22"/>
    </w:rPr>
  </w:style>
  <w:style w:type="paragraph" w:styleId="TOC3">
    <w:name w:val="toc 3"/>
    <w:basedOn w:val="Normal"/>
    <w:next w:val="Normal"/>
    <w:autoRedefine/>
    <w:rsid w:val="000B2393"/>
    <w:rPr>
      <w:rFonts w:asciiTheme="minorHAnsi" w:hAnsiTheme="minorHAnsi" w:cstheme="minorHAnsi"/>
      <w:smallCaps/>
      <w:sz w:val="22"/>
      <w:szCs w:val="22"/>
    </w:rPr>
  </w:style>
  <w:style w:type="paragraph" w:styleId="TOC4">
    <w:name w:val="toc 4"/>
    <w:basedOn w:val="Normal"/>
    <w:next w:val="Normal"/>
    <w:autoRedefine/>
    <w:uiPriority w:val="39"/>
    <w:rsid w:val="000B2393"/>
    <w:rPr>
      <w:rFonts w:asciiTheme="minorHAnsi" w:hAnsiTheme="minorHAnsi" w:cstheme="minorHAnsi"/>
      <w:sz w:val="22"/>
      <w:szCs w:val="22"/>
    </w:rPr>
  </w:style>
  <w:style w:type="paragraph" w:styleId="TOC5">
    <w:name w:val="toc 5"/>
    <w:basedOn w:val="Normal"/>
    <w:next w:val="Normal"/>
    <w:autoRedefine/>
    <w:rsid w:val="000B2393"/>
    <w:rPr>
      <w:rFonts w:asciiTheme="minorHAnsi" w:hAnsiTheme="minorHAnsi" w:cstheme="minorHAnsi"/>
      <w:sz w:val="22"/>
      <w:szCs w:val="22"/>
    </w:rPr>
  </w:style>
  <w:style w:type="paragraph" w:styleId="TOC6">
    <w:name w:val="toc 6"/>
    <w:basedOn w:val="Normal"/>
    <w:next w:val="Normal"/>
    <w:autoRedefine/>
    <w:rsid w:val="000B2393"/>
    <w:rPr>
      <w:rFonts w:asciiTheme="minorHAnsi" w:hAnsiTheme="minorHAnsi" w:cstheme="minorHAnsi"/>
      <w:sz w:val="22"/>
      <w:szCs w:val="22"/>
    </w:rPr>
  </w:style>
  <w:style w:type="paragraph" w:styleId="TOC7">
    <w:name w:val="toc 7"/>
    <w:basedOn w:val="Normal"/>
    <w:next w:val="Normal"/>
    <w:autoRedefine/>
    <w:rsid w:val="000B2393"/>
    <w:rPr>
      <w:rFonts w:asciiTheme="minorHAnsi" w:hAnsiTheme="minorHAnsi" w:cstheme="minorHAnsi"/>
      <w:sz w:val="22"/>
      <w:szCs w:val="22"/>
    </w:rPr>
  </w:style>
  <w:style w:type="paragraph" w:styleId="TOC8">
    <w:name w:val="toc 8"/>
    <w:basedOn w:val="Normal"/>
    <w:next w:val="Normal"/>
    <w:autoRedefine/>
    <w:rsid w:val="000B2393"/>
    <w:rPr>
      <w:rFonts w:asciiTheme="minorHAnsi" w:hAnsiTheme="minorHAnsi" w:cstheme="minorHAnsi"/>
      <w:sz w:val="22"/>
      <w:szCs w:val="22"/>
    </w:rPr>
  </w:style>
  <w:style w:type="paragraph" w:styleId="TOC9">
    <w:name w:val="toc 9"/>
    <w:basedOn w:val="Normal"/>
    <w:next w:val="Normal"/>
    <w:autoRedefine/>
    <w:rsid w:val="000B2393"/>
    <w:rPr>
      <w:rFonts w:asciiTheme="minorHAnsi" w:hAnsiTheme="minorHAnsi" w:cstheme="minorHAnsi"/>
      <w:sz w:val="22"/>
      <w:szCs w:val="22"/>
    </w:rPr>
  </w:style>
  <w:style w:type="table" w:styleId="TableGrid">
    <w:name w:val="Table Grid"/>
    <w:basedOn w:val="TableNormal"/>
    <w:rsid w:val="00ED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00807"/>
    <w:rPr>
      <w:sz w:val="18"/>
      <w:szCs w:val="18"/>
    </w:rPr>
  </w:style>
  <w:style w:type="character" w:customStyle="1" w:styleId="BalloonTextChar">
    <w:name w:val="Balloon Text Char"/>
    <w:basedOn w:val="DefaultParagraphFont"/>
    <w:link w:val="BalloonText"/>
    <w:semiHidden/>
    <w:rsid w:val="00100807"/>
    <w:rPr>
      <w:sz w:val="18"/>
      <w:szCs w:val="18"/>
      <w:lang w:eastAsia="ja-JP"/>
    </w:rPr>
  </w:style>
  <w:style w:type="character" w:styleId="Strong">
    <w:name w:val="Strong"/>
    <w:basedOn w:val="DefaultParagraphFont"/>
    <w:qFormat/>
    <w:rsid w:val="00697C56"/>
    <w:rPr>
      <w:b/>
      <w:bCs/>
    </w:rPr>
  </w:style>
  <w:style w:type="paragraph" w:customStyle="1" w:styleId="DocID">
    <w:name w:val="DocID"/>
    <w:basedOn w:val="Footer"/>
    <w:next w:val="Footer"/>
    <w:link w:val="DocIDChar"/>
    <w:rsid w:val="009E3762"/>
    <w:pPr>
      <w:tabs>
        <w:tab w:val="clear" w:pos="4320"/>
        <w:tab w:val="clear" w:pos="10440"/>
      </w:tabs>
    </w:pPr>
    <w:rPr>
      <w:sz w:val="18"/>
      <w:szCs w:val="20"/>
      <w:lang w:eastAsia="en-US"/>
    </w:rPr>
  </w:style>
  <w:style w:type="character" w:customStyle="1" w:styleId="DocIDChar">
    <w:name w:val="DocID Char"/>
    <w:basedOn w:val="DefaultParagraphFont"/>
    <w:link w:val="DocID"/>
    <w:rsid w:val="009E3762"/>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903999">
      <w:bodyDiv w:val="1"/>
      <w:marLeft w:val="0"/>
      <w:marRight w:val="0"/>
      <w:marTop w:val="0"/>
      <w:marBottom w:val="0"/>
      <w:divBdr>
        <w:top w:val="none" w:sz="0" w:space="0" w:color="auto"/>
        <w:left w:val="none" w:sz="0" w:space="0" w:color="auto"/>
        <w:bottom w:val="none" w:sz="0" w:space="0" w:color="auto"/>
        <w:right w:val="none" w:sz="0" w:space="0" w:color="auto"/>
      </w:divBdr>
    </w:div>
    <w:div w:id="1193106169">
      <w:bodyDiv w:val="1"/>
      <w:marLeft w:val="0"/>
      <w:marRight w:val="0"/>
      <w:marTop w:val="0"/>
      <w:marBottom w:val="0"/>
      <w:divBdr>
        <w:top w:val="none" w:sz="0" w:space="0" w:color="auto"/>
        <w:left w:val="none" w:sz="0" w:space="0" w:color="auto"/>
        <w:bottom w:val="none" w:sz="0" w:space="0" w:color="auto"/>
        <w:right w:val="none" w:sz="0" w:space="0" w:color="auto"/>
      </w:divBdr>
    </w:div>
    <w:div w:id="1852143617">
      <w:bodyDiv w:val="1"/>
      <w:marLeft w:val="0"/>
      <w:marRight w:val="0"/>
      <w:marTop w:val="0"/>
      <w:marBottom w:val="0"/>
      <w:divBdr>
        <w:top w:val="none" w:sz="0" w:space="0" w:color="auto"/>
        <w:left w:val="none" w:sz="0" w:space="0" w:color="auto"/>
        <w:bottom w:val="none" w:sz="0" w:space="0" w:color="auto"/>
        <w:right w:val="none" w:sz="0" w:space="0" w:color="auto"/>
      </w:divBdr>
    </w:div>
    <w:div w:id="1895967311">
      <w:bodyDiv w:val="1"/>
      <w:marLeft w:val="0"/>
      <w:marRight w:val="0"/>
      <w:marTop w:val="0"/>
      <w:marBottom w:val="0"/>
      <w:divBdr>
        <w:top w:val="none" w:sz="0" w:space="0" w:color="auto"/>
        <w:left w:val="none" w:sz="0" w:space="0" w:color="auto"/>
        <w:bottom w:val="none" w:sz="0" w:space="0" w:color="auto"/>
        <w:right w:val="none" w:sz="0" w:space="0" w:color="auto"/>
      </w:divBdr>
    </w:div>
    <w:div w:id="213111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combinator.com/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pcounsel.com/safe-not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rodney@clarkhil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FB9EBFEA7D544AD49A4CC2F71CBA2" ma:contentTypeVersion="7" ma:contentTypeDescription="Create a new document." ma:contentTypeScope="" ma:versionID="3665816df4d405b39ceaa5e1a868ed99">
  <xsd:schema xmlns:xsd="http://www.w3.org/2001/XMLSchema" xmlns:xs="http://www.w3.org/2001/XMLSchema" xmlns:p="http://schemas.microsoft.com/office/2006/metadata/properties" xmlns:ns3="d49cbc05-936c-45f4-b60f-8d36a69622bf" xmlns:ns4="7cd4fa07-2b41-49dd-aa4d-56420049cad7" targetNamespace="http://schemas.microsoft.com/office/2006/metadata/properties" ma:root="true" ma:fieldsID="6f00b2b645bd7db9323cce254779419a" ns3:_="" ns4:_="">
    <xsd:import namespace="d49cbc05-936c-45f4-b60f-8d36a69622bf"/>
    <xsd:import namespace="7cd4fa07-2b41-49dd-aa4d-56420049ca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cbc05-936c-45f4-b60f-8d36a6962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4fa07-2b41-49dd-aa4d-56420049ca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19AD5-446C-4466-BD45-CC78AB86D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cbc05-936c-45f4-b60f-8d36a69622bf"/>
    <ds:schemaRef ds:uri="7cd4fa07-2b41-49dd-aa4d-56420049c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5A0D9-E346-8547-BC37-355B87258A1A}">
  <ds:schemaRefs>
    <ds:schemaRef ds:uri="http://schemas.openxmlformats.org/officeDocument/2006/bibliography"/>
  </ds:schemaRefs>
</ds:datastoreItem>
</file>

<file path=customXml/itemProps3.xml><?xml version="1.0" encoding="utf-8"?>
<ds:datastoreItem xmlns:ds="http://schemas.openxmlformats.org/officeDocument/2006/customXml" ds:itemID="{DA87B972-EFEE-42A0-BA53-9A2D1B3092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A21BE0-AA2F-4774-958F-23957326B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John Rodney</cp:lastModifiedBy>
  <cp:revision>10</cp:revision>
  <cp:lastPrinted>2022-06-10T15:45:00Z</cp:lastPrinted>
  <dcterms:created xsi:type="dcterms:W3CDTF">2023-09-12T14:53:00Z</dcterms:created>
  <dcterms:modified xsi:type="dcterms:W3CDTF">2025-09-04T17:09:00Z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CLARKHILL\09999\09998-1745\272238017.v1-9/6/23</vt:lpwstr>
  </property>
  <property fmtid="{D5CDD505-2E9C-101B-9397-08002B2CF9AE}" pid="3" name="CUS_DocIDChunk0">
    <vt:lpwstr>CLARKHILL\09999\09998-1745\272238017.v1-9/6/23</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0x010100581FB9EBFEA7D544AD49A4CC2F71CBA2</vt:lpwstr>
  </property>
</Properties>
</file>