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20F5B5" w14:textId="77777777" w:rsidR="007B2FA7" w:rsidRDefault="00157CB8">
      <w:pPr>
        <w:spacing w:after="94" w:line="259" w:lineRule="auto"/>
        <w:ind w:left="0" w:right="0" w:firstLine="0"/>
      </w:pPr>
      <w:r>
        <w:rPr>
          <w:b/>
          <w:sz w:val="30"/>
        </w:rPr>
        <w:t xml:space="preserve">Brace For Expanding Scrutiny </w:t>
      </w:r>
      <w:proofErr w:type="gramStart"/>
      <w:r>
        <w:rPr>
          <w:b/>
          <w:sz w:val="30"/>
        </w:rPr>
        <w:t>Of</w:t>
      </w:r>
      <w:proofErr w:type="gramEnd"/>
      <w:r>
        <w:rPr>
          <w:b/>
          <w:sz w:val="30"/>
        </w:rPr>
        <w:t xml:space="preserve"> Dark Patterns </w:t>
      </w:r>
      <w:proofErr w:type="gramStart"/>
      <w:r>
        <w:rPr>
          <w:b/>
          <w:sz w:val="30"/>
        </w:rPr>
        <w:t>In</w:t>
      </w:r>
      <w:proofErr w:type="gramEnd"/>
      <w:r>
        <w:rPr>
          <w:b/>
          <w:sz w:val="30"/>
        </w:rPr>
        <w:t xml:space="preserve"> Healthcare </w:t>
      </w:r>
    </w:p>
    <w:p w14:paraId="757F1D82" w14:textId="77777777" w:rsidR="007B2FA7" w:rsidRDefault="00157CB8">
      <w:pPr>
        <w:spacing w:after="158" w:line="259" w:lineRule="auto"/>
        <w:ind w:left="0" w:right="0" w:firstLine="0"/>
      </w:pPr>
      <w:r>
        <w:rPr>
          <w:sz w:val="20"/>
        </w:rPr>
        <w:t>By</w:t>
      </w:r>
      <w:r>
        <w:rPr>
          <w:sz w:val="20"/>
        </w:rPr>
        <w:t xml:space="preserve"> </w:t>
      </w:r>
      <w:r>
        <w:rPr>
          <w:b/>
          <w:sz w:val="20"/>
        </w:rPr>
        <w:t>Paul Schmeltzer and John Howard</w:t>
      </w:r>
      <w:r>
        <w:rPr>
          <w:sz w:val="20"/>
        </w:rPr>
        <w:t xml:space="preserve"> </w:t>
      </w:r>
      <w:r>
        <w:rPr>
          <w:sz w:val="20"/>
        </w:rPr>
        <w:t>(August 12, 2026)</w:t>
      </w:r>
      <w:r>
        <w:rPr>
          <w:sz w:val="20"/>
        </w:rPr>
        <w:t xml:space="preserve"> </w:t>
      </w:r>
    </w:p>
    <w:p w14:paraId="289BEEB4" w14:textId="77777777" w:rsidR="007B2FA7" w:rsidRDefault="00157CB8">
      <w:pPr>
        <w:spacing w:line="328" w:lineRule="auto"/>
        <w:ind w:left="-5"/>
      </w:pPr>
      <w:r>
        <w:rPr>
          <w:noProof/>
        </w:rPr>
        <w:drawing>
          <wp:anchor distT="0" distB="0" distL="114300" distR="114300" simplePos="0" relativeHeight="251658240" behindDoc="0" locked="0" layoutInCell="1" allowOverlap="0" wp14:anchorId="1536EA6B" wp14:editId="76CBD7E5">
            <wp:simplePos x="0" y="0"/>
            <wp:positionH relativeFrom="column">
              <wp:posOffset>4702760</wp:posOffset>
            </wp:positionH>
            <wp:positionV relativeFrom="paragraph">
              <wp:posOffset>26126</wp:posOffset>
            </wp:positionV>
            <wp:extent cx="1033145" cy="1371473"/>
            <wp:effectExtent l="0" t="0" r="0" b="0"/>
            <wp:wrapSquare wrapText="bothSides"/>
            <wp:docPr id="90" name="Picture 90"/>
            <wp:cNvGraphicFramePr/>
            <a:graphic xmlns:a="http://schemas.openxmlformats.org/drawingml/2006/main">
              <a:graphicData uri="http://schemas.openxmlformats.org/drawingml/2006/picture">
                <pic:pic xmlns:pic="http://schemas.openxmlformats.org/drawingml/2006/picture">
                  <pic:nvPicPr>
                    <pic:cNvPr id="90" name="Picture 90"/>
                    <pic:cNvPicPr/>
                  </pic:nvPicPr>
                  <pic:blipFill>
                    <a:blip r:embed="rId4"/>
                    <a:stretch>
                      <a:fillRect/>
                    </a:stretch>
                  </pic:blipFill>
                  <pic:spPr>
                    <a:xfrm>
                      <a:off x="0" y="0"/>
                      <a:ext cx="1033145" cy="1371473"/>
                    </a:xfrm>
                    <a:prstGeom prst="rect">
                      <a:avLst/>
                    </a:prstGeom>
                  </pic:spPr>
                </pic:pic>
              </a:graphicData>
            </a:graphic>
          </wp:anchor>
        </w:drawing>
      </w:r>
      <w:r>
        <w:t xml:space="preserve">Dark pattern concerns in healthcare have moved out of the abstract </w:t>
      </w:r>
      <w:r>
        <w:tab/>
      </w:r>
      <w:r>
        <w:rPr>
          <w:sz w:val="2"/>
          <w:vertAlign w:val="superscript"/>
        </w:rPr>
        <w:t xml:space="preserve"> </w:t>
      </w:r>
      <w:r>
        <w:t>and into the patient registration workflow.</w:t>
      </w:r>
      <w:r>
        <w:t xml:space="preserve"> </w:t>
      </w:r>
    </w:p>
    <w:p w14:paraId="01212737" w14:textId="77777777" w:rsidR="007B2FA7" w:rsidRDefault="00157CB8">
      <w:pPr>
        <w:spacing w:after="22" w:line="259" w:lineRule="auto"/>
        <w:ind w:left="0" w:firstLine="0"/>
      </w:pPr>
      <w:r>
        <w:t xml:space="preserve"> </w:t>
      </w:r>
    </w:p>
    <w:p w14:paraId="6FEA28D1" w14:textId="77777777" w:rsidR="007B2FA7" w:rsidRDefault="00157CB8">
      <w:pPr>
        <w:ind w:left="-5"/>
      </w:pPr>
      <w:r>
        <w:t xml:space="preserve">In May, The Markup and CalMatters reported on patient intake processes that allegedly required patients to acknowledge privacy notices or health information exchange terms while making opt-out </w:t>
      </w:r>
    </w:p>
    <w:p w14:paraId="052CD0D8" w14:textId="77777777" w:rsidR="007B2FA7" w:rsidRDefault="00157CB8">
      <w:pPr>
        <w:spacing w:after="41"/>
        <w:ind w:left="-5"/>
      </w:pPr>
      <w:r>
        <w:t xml:space="preserve">rights difficult, or impossible, to exercise within the same </w:t>
      </w:r>
    </w:p>
    <w:p w14:paraId="23549150" w14:textId="77777777" w:rsidR="007B2FA7" w:rsidRDefault="00157CB8">
      <w:pPr>
        <w:ind w:left="-5" w:right="352"/>
      </w:pPr>
      <w:r>
        <w:rPr>
          <w:noProof/>
        </w:rPr>
        <w:drawing>
          <wp:anchor distT="0" distB="0" distL="114300" distR="114300" simplePos="0" relativeHeight="251659264" behindDoc="0" locked="0" layoutInCell="1" allowOverlap="0" wp14:anchorId="052661E8" wp14:editId="2C86C28C">
            <wp:simplePos x="0" y="0"/>
            <wp:positionH relativeFrom="column">
              <wp:posOffset>4705046</wp:posOffset>
            </wp:positionH>
            <wp:positionV relativeFrom="paragraph">
              <wp:posOffset>347439</wp:posOffset>
            </wp:positionV>
            <wp:extent cx="1023620" cy="1370965"/>
            <wp:effectExtent l="0" t="0" r="0" b="0"/>
            <wp:wrapSquare wrapText="bothSides"/>
            <wp:docPr id="92" name="Picture 92"/>
            <wp:cNvGraphicFramePr/>
            <a:graphic xmlns:a="http://schemas.openxmlformats.org/drawingml/2006/main">
              <a:graphicData uri="http://schemas.openxmlformats.org/drawingml/2006/picture">
                <pic:pic xmlns:pic="http://schemas.openxmlformats.org/drawingml/2006/picture">
                  <pic:nvPicPr>
                    <pic:cNvPr id="92" name="Picture 92"/>
                    <pic:cNvPicPr/>
                  </pic:nvPicPr>
                  <pic:blipFill>
                    <a:blip r:embed="rId5"/>
                    <a:stretch>
                      <a:fillRect/>
                    </a:stretch>
                  </pic:blipFill>
                  <pic:spPr>
                    <a:xfrm>
                      <a:off x="0" y="0"/>
                      <a:ext cx="1023620" cy="1370965"/>
                    </a:xfrm>
                    <a:prstGeom prst="rect">
                      <a:avLst/>
                    </a:prstGeom>
                  </pic:spPr>
                </pic:pic>
              </a:graphicData>
            </a:graphic>
          </wp:anchor>
        </w:drawing>
      </w:r>
      <w:r>
        <w:t xml:space="preserve">registration interface.[1] The examples included digital signature </w:t>
      </w:r>
      <w:r>
        <w:tab/>
        <w:t>Paul Schmeltzer</w:t>
      </w:r>
      <w:r>
        <w:t xml:space="preserve"> </w:t>
      </w:r>
      <w:r>
        <w:t xml:space="preserve">pads, electronic check-in forms, health information exchange </w:t>
      </w:r>
      <w:r>
        <w:tab/>
      </w:r>
      <w:r>
        <w:rPr>
          <w:sz w:val="2"/>
          <w:vertAlign w:val="superscript"/>
        </w:rPr>
        <w:t xml:space="preserve"> </w:t>
      </w:r>
      <w:r>
        <w:t>disclosures and privacy notices that patients allegedly were asked to acknowledge even when they had not received or reviewed them.</w:t>
      </w:r>
      <w:r>
        <w:t xml:space="preserve"> </w:t>
      </w:r>
    </w:p>
    <w:p w14:paraId="7E576F4B" w14:textId="77777777" w:rsidR="007B2FA7" w:rsidRDefault="00157CB8">
      <w:pPr>
        <w:spacing w:after="24" w:line="259" w:lineRule="auto"/>
        <w:ind w:left="0" w:right="389" w:firstLine="0"/>
      </w:pPr>
      <w:r>
        <w:t xml:space="preserve"> </w:t>
      </w:r>
    </w:p>
    <w:p w14:paraId="7B558A27" w14:textId="77777777" w:rsidR="007B2FA7" w:rsidRDefault="00157CB8">
      <w:pPr>
        <w:spacing w:after="41"/>
        <w:ind w:left="-5" w:right="389"/>
      </w:pPr>
      <w:r>
        <w:t>Those reports arrive against a broader enforcement backdrop in which regulators have increasingly scrutinized manipulative choice architecture and consent mechanisms, including the</w:t>
      </w:r>
      <w:hyperlink r:id="rId6">
        <w:r>
          <w:t xml:space="preserve"> </w:t>
        </w:r>
      </w:hyperlink>
      <w:hyperlink r:id="rId7">
        <w:r>
          <w:rPr>
            <w:color w:val="467886"/>
            <w:u w:val="single" w:color="467886"/>
          </w:rPr>
          <w:t>California</w:t>
        </w:r>
      </w:hyperlink>
      <w:hyperlink r:id="rId8">
        <w:r>
          <w:rPr>
            <w:color w:val="467886"/>
          </w:rPr>
          <w:t xml:space="preserve"> </w:t>
        </w:r>
      </w:hyperlink>
    </w:p>
    <w:p w14:paraId="1BA1E864" w14:textId="77777777" w:rsidR="007B2FA7" w:rsidRDefault="00157CB8">
      <w:pPr>
        <w:spacing w:line="327" w:lineRule="auto"/>
        <w:ind w:left="-5" w:right="53"/>
      </w:pPr>
      <w:hyperlink r:id="rId9">
        <w:r>
          <w:rPr>
            <w:color w:val="467886"/>
            <w:u w:val="single" w:color="467886"/>
          </w:rPr>
          <w:t>Privacy Protection Agency</w:t>
        </w:r>
      </w:hyperlink>
      <w:hyperlink r:id="rId10">
        <w:r>
          <w:t>'</w:t>
        </w:r>
      </w:hyperlink>
      <w:r>
        <w:t>s 2025 Honda</w:t>
      </w:r>
      <w:hyperlink r:id="rId11">
        <w:r>
          <w:t xml:space="preserve"> </w:t>
        </w:r>
      </w:hyperlink>
      <w:hyperlink r:id="rId12">
        <w:r>
          <w:rPr>
            <w:b/>
            <w:color w:val="467886"/>
            <w:u w:val="single" w:color="467886"/>
          </w:rPr>
          <w:t>settlement</w:t>
        </w:r>
      </w:hyperlink>
      <w:hyperlink r:id="rId13">
        <w:r>
          <w:t xml:space="preserve"> </w:t>
        </w:r>
      </w:hyperlink>
      <w:r>
        <w:t xml:space="preserve">over allegedly </w:t>
      </w:r>
      <w:r>
        <w:tab/>
        <w:t>John Howard</w:t>
      </w:r>
      <w:r>
        <w:t xml:space="preserve"> </w:t>
      </w:r>
      <w:r>
        <w:t>asymmetrical privacy choices and</w:t>
      </w:r>
      <w:hyperlink r:id="rId14">
        <w:r>
          <w:t xml:space="preserve"> </w:t>
        </w:r>
      </w:hyperlink>
      <w:hyperlink r:id="rId15">
        <w:r>
          <w:rPr>
            <w:color w:val="467886"/>
            <w:u w:val="single" w:color="467886"/>
          </w:rPr>
          <w:t>Federal Trade</w:t>
        </w:r>
      </w:hyperlink>
      <w:hyperlink r:id="rId16">
        <w:r>
          <w:rPr>
            <w:color w:val="467886"/>
          </w:rPr>
          <w:t xml:space="preserve"> </w:t>
        </w:r>
      </w:hyperlink>
    </w:p>
    <w:p w14:paraId="2D5CFF4C" w14:textId="77777777" w:rsidR="007B2FA7" w:rsidRDefault="00157CB8">
      <w:pPr>
        <w:ind w:left="-5" w:right="53"/>
      </w:pPr>
      <w:hyperlink r:id="rId17">
        <w:r>
          <w:rPr>
            <w:color w:val="467886"/>
            <w:u w:val="single" w:color="467886"/>
          </w:rPr>
          <w:t>Commission</w:t>
        </w:r>
      </w:hyperlink>
      <w:hyperlink r:id="rId18">
        <w:r>
          <w:t xml:space="preserve"> </w:t>
        </w:r>
      </w:hyperlink>
      <w:r>
        <w:t>enforcement involving online healthcare providers' allegedly deceptive cancellation practices and disclosures concerning sensitive health information.</w:t>
      </w:r>
      <w:r>
        <w:t xml:space="preserve"> </w:t>
      </w:r>
    </w:p>
    <w:p w14:paraId="63BADE93" w14:textId="77777777" w:rsidR="007B2FA7" w:rsidRDefault="00157CB8">
      <w:pPr>
        <w:spacing w:after="24" w:line="259" w:lineRule="auto"/>
        <w:ind w:left="0" w:right="0" w:firstLine="0"/>
      </w:pPr>
      <w:r>
        <w:t xml:space="preserve"> </w:t>
      </w:r>
    </w:p>
    <w:p w14:paraId="12F990AF" w14:textId="77777777" w:rsidR="007B2FA7" w:rsidRDefault="00157CB8">
      <w:pPr>
        <w:ind w:left="-5" w:right="53"/>
      </w:pPr>
      <w:r>
        <w:t>At the same time, the</w:t>
      </w:r>
      <w:hyperlink r:id="rId19">
        <w:r>
          <w:t xml:space="preserve"> </w:t>
        </w:r>
      </w:hyperlink>
      <w:hyperlink r:id="rId20">
        <w:r>
          <w:rPr>
            <w:color w:val="467886"/>
            <w:u w:val="single" w:color="467886"/>
          </w:rPr>
          <w:t>U.S. Department of Health and Human Services</w:t>
        </w:r>
      </w:hyperlink>
      <w:hyperlink r:id="rId21">
        <w:r>
          <w:t>'</w:t>
        </w:r>
      </w:hyperlink>
      <w:r>
        <w:t xml:space="preserve"> 2026 model notice materials and the FTC's newly announced healthcare task force signal continued federal attention to how healthcare organizations communicate privacy rights and structure consumer choice.</w:t>
      </w:r>
      <w:r>
        <w:t xml:space="preserve"> </w:t>
      </w:r>
    </w:p>
    <w:p w14:paraId="0B3056E7" w14:textId="77777777" w:rsidR="007B2FA7" w:rsidRDefault="00157CB8">
      <w:pPr>
        <w:spacing w:after="24" w:line="259" w:lineRule="auto"/>
        <w:ind w:left="0" w:right="0" w:firstLine="0"/>
      </w:pPr>
      <w:r>
        <w:t xml:space="preserve"> </w:t>
      </w:r>
    </w:p>
    <w:p w14:paraId="5882A0C7" w14:textId="77777777" w:rsidR="007B2FA7" w:rsidRDefault="00157CB8">
      <w:pPr>
        <w:ind w:left="-5" w:right="53"/>
      </w:pPr>
      <w:r>
        <w:t>The practical takeaway is straightforward: Compliance reviews can no longer focus only on what patient notices, consent forms and authorizations say. They also need to examine how the surrounding workflow influences the patient's choice.</w:t>
      </w:r>
      <w:r>
        <w:t xml:space="preserve"> </w:t>
      </w:r>
    </w:p>
    <w:p w14:paraId="265EC95D" w14:textId="77777777" w:rsidR="007B2FA7" w:rsidRDefault="00157CB8">
      <w:pPr>
        <w:spacing w:after="22" w:line="259" w:lineRule="auto"/>
        <w:ind w:left="0" w:right="0" w:firstLine="0"/>
      </w:pPr>
      <w:r>
        <w:t xml:space="preserve"> </w:t>
      </w:r>
    </w:p>
    <w:p w14:paraId="1D5FAAD0" w14:textId="77777777" w:rsidR="007B2FA7" w:rsidRDefault="00157CB8">
      <w:pPr>
        <w:ind w:left="-5" w:right="53"/>
      </w:pPr>
      <w:r>
        <w:t>Ask most healthcare compliance professionals about dark patterns, and the first thing that comes to mind for many are cookie banners, privacy notices and website consent tools. That assumption made sense for years. Today, however, it may no longer be accurate.</w:t>
      </w:r>
      <w:r>
        <w:t xml:space="preserve"> </w:t>
      </w:r>
    </w:p>
    <w:p w14:paraId="7A289F9D" w14:textId="77777777" w:rsidR="007B2FA7" w:rsidRDefault="00157CB8">
      <w:pPr>
        <w:spacing w:after="22" w:line="259" w:lineRule="auto"/>
        <w:ind w:left="0" w:right="0" w:firstLine="0"/>
      </w:pPr>
      <w:r>
        <w:t xml:space="preserve"> </w:t>
      </w:r>
    </w:p>
    <w:p w14:paraId="038030C4" w14:textId="77777777" w:rsidR="007B2FA7" w:rsidRDefault="00157CB8">
      <w:pPr>
        <w:ind w:left="-5" w:right="53"/>
      </w:pPr>
      <w:r>
        <w:t xml:space="preserve">The term "dark patterns" generally refers to user interface designs that manipulate, coerce or materially influence individuals into making choices they might not otherwise make. </w:t>
      </w:r>
    </w:p>
    <w:p w14:paraId="67DB83E0" w14:textId="77777777" w:rsidR="007B2FA7" w:rsidRDefault="00157CB8">
      <w:pPr>
        <w:ind w:left="-5" w:right="53"/>
      </w:pPr>
      <w:r>
        <w:t>Rather than promoting informed and voluntary decision-making, dark patterns exploit behavioral biases, confusing layouts, default settings, visual prominence, emotional or psychological pressure, or other design techniques to steer individuals toward outcomes favored by the organization presenting the choice.</w:t>
      </w:r>
      <w:r>
        <w:t xml:space="preserve"> </w:t>
      </w:r>
    </w:p>
    <w:p w14:paraId="6B5F1CD0" w14:textId="77777777" w:rsidR="007B2FA7" w:rsidRDefault="00157CB8">
      <w:pPr>
        <w:spacing w:after="22" w:line="259" w:lineRule="auto"/>
        <w:ind w:left="0" w:right="0" w:firstLine="0"/>
      </w:pPr>
      <w:r>
        <w:t xml:space="preserve"> </w:t>
      </w:r>
    </w:p>
    <w:p w14:paraId="3AE13BBE" w14:textId="77777777" w:rsidR="007B2FA7" w:rsidRDefault="00157CB8">
      <w:pPr>
        <w:ind w:left="-5" w:right="53"/>
      </w:pPr>
      <w:r>
        <w:t xml:space="preserve">Although the doctrine developed largely in the context of websites and mobile applications, regulators increasingly appear to be recognizing that its underlying concern is not the technology itself, but the manipulation of human decision-making. The focus </w:t>
      </w:r>
      <w:proofErr w:type="gramStart"/>
      <w:r>
        <w:t>is shifting</w:t>
      </w:r>
      <w:proofErr w:type="gramEnd"/>
      <w:r>
        <w:t xml:space="preserve"> from where a decision occurs to how that decision is structured.</w:t>
      </w:r>
      <w:r>
        <w:t xml:space="preserve"> </w:t>
      </w:r>
    </w:p>
    <w:p w14:paraId="6DBDBC51" w14:textId="77777777" w:rsidR="007B2FA7" w:rsidRDefault="00157CB8">
      <w:pPr>
        <w:spacing w:after="23" w:line="259" w:lineRule="auto"/>
        <w:ind w:left="0" w:right="0" w:firstLine="0"/>
      </w:pPr>
      <w:r>
        <w:t xml:space="preserve"> </w:t>
      </w:r>
    </w:p>
    <w:p w14:paraId="22EE5687" w14:textId="77777777" w:rsidR="007B2FA7" w:rsidRDefault="00157CB8">
      <w:pPr>
        <w:ind w:left="-5" w:right="53"/>
      </w:pPr>
      <w:r>
        <w:t>Once viewed through that lens, the potential application of dark pattern principles extends well beyond websites to patient intake packets, consent forms, financial responsibility agreements, marketing authorizations, electronic registration workflows, and other processes through which patients are asked to make legally significant decisions.</w:t>
      </w:r>
      <w:r>
        <w:t xml:space="preserve"> </w:t>
      </w:r>
    </w:p>
    <w:p w14:paraId="2C7A507C" w14:textId="77777777" w:rsidR="007B2FA7" w:rsidRDefault="00157CB8">
      <w:pPr>
        <w:spacing w:after="22" w:line="259" w:lineRule="auto"/>
        <w:ind w:left="0" w:right="0" w:firstLine="0"/>
      </w:pPr>
      <w:r>
        <w:t xml:space="preserve"> </w:t>
      </w:r>
    </w:p>
    <w:p w14:paraId="6B6E7DE9" w14:textId="77777777" w:rsidR="007B2FA7" w:rsidRDefault="00157CB8">
      <w:pPr>
        <w:ind w:left="-5" w:right="53"/>
      </w:pPr>
      <w:r>
        <w:t>Importantly, these practices are no longer confined to digital interactions; they are increasingly reflected in the design of both online and traditional in-</w:t>
      </w:r>
      <w:r>
        <w:t>person healthcare workflows.</w:t>
      </w:r>
      <w:r>
        <w:t xml:space="preserve"> </w:t>
      </w:r>
    </w:p>
    <w:p w14:paraId="08E13DD2" w14:textId="77777777" w:rsidR="007B2FA7" w:rsidRDefault="00157CB8">
      <w:pPr>
        <w:spacing w:after="24" w:line="259" w:lineRule="auto"/>
        <w:ind w:left="0" w:right="0" w:firstLine="0"/>
      </w:pPr>
      <w:r>
        <w:t xml:space="preserve"> </w:t>
      </w:r>
    </w:p>
    <w:p w14:paraId="440D639A" w14:textId="77777777" w:rsidR="007B2FA7" w:rsidRDefault="00157CB8">
      <w:pPr>
        <w:ind w:left="-5" w:right="53"/>
      </w:pPr>
      <w:r>
        <w:t>That evolution has significant implications for healthcare organizations because many of the most important privacy and consent decisions occur not online, but during the patient registration process. Patients routinely complete packets addressing treatment,</w:t>
      </w:r>
      <w:r>
        <w:t xml:space="preserve"> </w:t>
      </w:r>
      <w:r>
        <w:t>Health Insurance Portability and Accountability Act acknowledgments, financial responsibility, telehealth, marketing communications, arbitration, research participation, and numerous other legal and operational matters.</w:t>
      </w:r>
      <w:r>
        <w:t xml:space="preserve"> </w:t>
      </w:r>
    </w:p>
    <w:p w14:paraId="50B2DB45" w14:textId="77777777" w:rsidR="007B2FA7" w:rsidRDefault="00157CB8">
      <w:pPr>
        <w:spacing w:after="22" w:line="259" w:lineRule="auto"/>
        <w:ind w:left="0" w:right="0" w:firstLine="0"/>
      </w:pPr>
      <w:r>
        <w:t xml:space="preserve"> </w:t>
      </w:r>
    </w:p>
    <w:p w14:paraId="7892B51D" w14:textId="77777777" w:rsidR="007B2FA7" w:rsidRDefault="00157CB8">
      <w:pPr>
        <w:ind w:left="-5" w:right="53"/>
      </w:pPr>
      <w:r>
        <w:t>Historically, providers focused on whether these documents contained the required legal language and obtained the necessary signatures. Increasingly, however, regulators may be asking a different question: Does the overall design of the decision-making process steer patients toward a particular outcome?</w:t>
      </w:r>
      <w:r>
        <w:t xml:space="preserve"> </w:t>
      </w:r>
    </w:p>
    <w:p w14:paraId="2F3B0B94" w14:textId="77777777" w:rsidR="007B2FA7" w:rsidRDefault="00157CB8">
      <w:pPr>
        <w:spacing w:after="22" w:line="259" w:lineRule="auto"/>
        <w:ind w:left="0" w:right="0" w:firstLine="0"/>
      </w:pPr>
      <w:r>
        <w:t xml:space="preserve"> </w:t>
      </w:r>
    </w:p>
    <w:p w14:paraId="0737F1EE" w14:textId="77777777" w:rsidR="007B2FA7" w:rsidRDefault="00157CB8">
      <w:pPr>
        <w:ind w:left="-5" w:right="53"/>
      </w:pPr>
      <w:r>
        <w:t>Although the Federal Trade Commission's guidance on dark patterns has largely arisen in the context of e-commerce, subscription services and online privacy, the underlying principles are far broader.</w:t>
      </w:r>
      <w:r>
        <w:t xml:space="preserve"> </w:t>
      </w:r>
    </w:p>
    <w:p w14:paraId="0848DDAE" w14:textId="77777777" w:rsidR="007B2FA7" w:rsidRDefault="00157CB8">
      <w:pPr>
        <w:spacing w:after="22" w:line="259" w:lineRule="auto"/>
        <w:ind w:left="0" w:right="0" w:firstLine="0"/>
      </w:pPr>
      <w:r>
        <w:t xml:space="preserve"> </w:t>
      </w:r>
    </w:p>
    <w:p w14:paraId="6E6D01BF" w14:textId="77777777" w:rsidR="007B2FA7" w:rsidRDefault="00157CB8">
      <w:pPr>
        <w:ind w:left="-5" w:right="53"/>
      </w:pPr>
      <w:r>
        <w:t>At their core, dark patterns are not about websites; they are about consumer autonomy. The FTC has consistently emphasized that consumers should be presented with choices in a manner that is clear, symmetrical, transparent and free from manipulation. Those same principles readily translate to healthcare settings, where patients routinely make decisions involving some of their most sensitive personal information.</w:t>
      </w:r>
      <w:r>
        <w:t xml:space="preserve"> </w:t>
      </w:r>
    </w:p>
    <w:p w14:paraId="66E8FCA9" w14:textId="77777777" w:rsidR="007B2FA7" w:rsidRDefault="00157CB8">
      <w:pPr>
        <w:spacing w:after="22" w:line="259" w:lineRule="auto"/>
        <w:ind w:left="0" w:right="0" w:firstLine="0"/>
      </w:pPr>
      <w:r>
        <w:t xml:space="preserve"> </w:t>
      </w:r>
    </w:p>
    <w:p w14:paraId="1331DE67" w14:textId="77777777" w:rsidR="007B2FA7" w:rsidRDefault="00157CB8">
      <w:pPr>
        <w:ind w:left="-5" w:right="53"/>
      </w:pPr>
      <w:r>
        <w:t>Healthcare presents unique challenges because the circumstances under which patients complete intake paperwork often make them particularly susceptible to subtle forms of influence. Patients may be in pain, anxious about a diagnosis, unfamiliar with the provider, rushing to complete paperwork before an appointment, or simply overwhelmed by the volume of documents placed in front of them.</w:t>
      </w:r>
      <w:r>
        <w:t xml:space="preserve"> </w:t>
      </w:r>
    </w:p>
    <w:p w14:paraId="7B2DC452" w14:textId="77777777" w:rsidR="007B2FA7" w:rsidRDefault="00157CB8">
      <w:pPr>
        <w:spacing w:after="24" w:line="259" w:lineRule="auto"/>
        <w:ind w:left="0" w:right="0" w:firstLine="0"/>
      </w:pPr>
      <w:r>
        <w:t xml:space="preserve"> </w:t>
      </w:r>
    </w:p>
    <w:p w14:paraId="25D172C1" w14:textId="77777777" w:rsidR="007B2FA7" w:rsidRDefault="00157CB8">
      <w:pPr>
        <w:ind w:left="-5" w:right="53"/>
      </w:pPr>
      <w:r>
        <w:t>Additionally, healthcare personnel facilitating registration may face similar pressures to move patients through the intake process as efficiently as possible, which can result in abbreviated — or, at times, inaccurate — summaries of the forms, disclosures, consents and authorizations being presented for review.</w:t>
      </w:r>
      <w:r>
        <w:t xml:space="preserve"> </w:t>
      </w:r>
    </w:p>
    <w:p w14:paraId="6F2C1E6B" w14:textId="77777777" w:rsidR="007B2FA7" w:rsidRDefault="00157CB8">
      <w:pPr>
        <w:spacing w:after="24" w:line="259" w:lineRule="auto"/>
        <w:ind w:left="0" w:right="0" w:firstLine="0"/>
      </w:pPr>
      <w:r>
        <w:t xml:space="preserve"> </w:t>
      </w:r>
    </w:p>
    <w:p w14:paraId="0A97D394" w14:textId="77777777" w:rsidR="007B2FA7" w:rsidRDefault="00157CB8">
      <w:pPr>
        <w:ind w:left="-5" w:right="53"/>
      </w:pPr>
      <w:r>
        <w:t>Those realities naturally diminish a patient's ability to carefully evaluate every disclosure and every optional authorization. Design choices that further influence those decisions may therefore receive increasing regulatory scrutiny.</w:t>
      </w:r>
      <w:r>
        <w:t xml:space="preserve"> </w:t>
      </w:r>
    </w:p>
    <w:p w14:paraId="7D9C8D09" w14:textId="77777777" w:rsidR="007B2FA7" w:rsidRDefault="00157CB8">
      <w:pPr>
        <w:spacing w:after="22" w:line="259" w:lineRule="auto"/>
        <w:ind w:left="0" w:right="0" w:firstLine="0"/>
      </w:pPr>
      <w:r>
        <w:t xml:space="preserve"> </w:t>
      </w:r>
    </w:p>
    <w:p w14:paraId="79DB7BEA" w14:textId="77777777" w:rsidR="007B2FA7" w:rsidRDefault="00157CB8">
      <w:pPr>
        <w:ind w:left="-5" w:right="53"/>
      </w:pPr>
      <w:r>
        <w:t>Consider, for example, a marketing authorization embedded within a mandatory consent to treatment, or an authorization to receive promotional communications positioned immediately above the signature line for medical services.</w:t>
      </w:r>
      <w:r>
        <w:t xml:space="preserve"> </w:t>
      </w:r>
    </w:p>
    <w:p w14:paraId="742DC4B4" w14:textId="77777777" w:rsidR="007B2FA7" w:rsidRDefault="00157CB8">
      <w:pPr>
        <w:spacing w:after="24" w:line="259" w:lineRule="auto"/>
        <w:ind w:left="0" w:right="0" w:firstLine="0"/>
      </w:pPr>
      <w:r>
        <w:t xml:space="preserve"> </w:t>
      </w:r>
    </w:p>
    <w:p w14:paraId="1AE0219B" w14:textId="77777777" w:rsidR="007B2FA7" w:rsidRDefault="00157CB8">
      <w:pPr>
        <w:ind w:left="-5" w:right="53"/>
      </w:pPr>
      <w:r>
        <w:t>Even if the underlying language technically satisfies applicable legal requirements, regulators may question whether the patient realistically understood that the authorization was optional. Similarly, presenting one option in large, bold print while relegating alternatives to small text several pages later may create the appearance that the provider is steering patients toward a preferred outcome rather than facilitating an informed decision.</w:t>
      </w:r>
      <w:r>
        <w:t xml:space="preserve"> </w:t>
      </w:r>
    </w:p>
    <w:p w14:paraId="237606A9" w14:textId="77777777" w:rsidR="007B2FA7" w:rsidRDefault="00157CB8">
      <w:pPr>
        <w:spacing w:after="22" w:line="259" w:lineRule="auto"/>
        <w:ind w:left="0" w:right="0" w:firstLine="0"/>
      </w:pPr>
      <w:r>
        <w:t xml:space="preserve"> </w:t>
      </w:r>
    </w:p>
    <w:p w14:paraId="01EA4296" w14:textId="77777777" w:rsidR="007B2FA7" w:rsidRDefault="00157CB8">
      <w:pPr>
        <w:ind w:left="-5" w:right="53"/>
      </w:pPr>
      <w:r>
        <w:t>The same concerns extend beyond consent forms themselves. Intake questionnaires, financial responsibility documents, patient portal enrollment forms and electronic registration workflows can all influence patient behavior through subtle design choices.</w:t>
      </w:r>
      <w:r>
        <w:t xml:space="preserve"> </w:t>
      </w:r>
    </w:p>
    <w:p w14:paraId="13092905" w14:textId="77777777" w:rsidR="007B2FA7" w:rsidRDefault="00157CB8">
      <w:pPr>
        <w:spacing w:after="24" w:line="259" w:lineRule="auto"/>
        <w:ind w:left="0" w:right="0" w:firstLine="0"/>
      </w:pPr>
      <w:r>
        <w:t xml:space="preserve"> </w:t>
      </w:r>
    </w:p>
    <w:p w14:paraId="617764F5" w14:textId="77777777" w:rsidR="007B2FA7" w:rsidRDefault="00157CB8">
      <w:pPr>
        <w:ind w:left="-5" w:right="53"/>
      </w:pPr>
      <w:r>
        <w:t>Questions framed in a leading manner, default selections that assume participation unless affirmatively changed, repeated prompts encouraging patients to reconsider declining an optional program, or interfaces that make opting out substantially more burdensome than opting in increasingly resemble the very practices regulators have criticized in the digital marketplace.</w:t>
      </w:r>
      <w:r>
        <w:t xml:space="preserve"> </w:t>
      </w:r>
    </w:p>
    <w:p w14:paraId="3C68E811" w14:textId="77777777" w:rsidR="007B2FA7" w:rsidRDefault="00157CB8">
      <w:pPr>
        <w:spacing w:after="0" w:line="259" w:lineRule="auto"/>
        <w:ind w:left="0" w:right="0" w:firstLine="0"/>
      </w:pPr>
      <w:r>
        <w:t xml:space="preserve"> </w:t>
      </w:r>
    </w:p>
    <w:p w14:paraId="1F9B9E95" w14:textId="77777777" w:rsidR="007B2FA7" w:rsidRDefault="00157CB8">
      <w:pPr>
        <w:ind w:left="-5" w:right="53"/>
      </w:pPr>
      <w:r>
        <w:t>Importantly, this broader understanding of dark patterns does not arise in a vacuum. HIPAA has long recognized the importance of meaningful patient choice by imposing specific requirements regarding marketing authorizations and the provision of privacy notices. Likewise, numerous consumer privacy statutes emphasize that consent must be meaningful rather than merely documented through a signature or checkbox.</w:t>
      </w:r>
      <w:r>
        <w:t xml:space="preserve"> </w:t>
      </w:r>
    </w:p>
    <w:p w14:paraId="301F7BC4" w14:textId="77777777" w:rsidR="007B2FA7" w:rsidRDefault="00157CB8">
      <w:pPr>
        <w:spacing w:after="22" w:line="259" w:lineRule="auto"/>
        <w:ind w:left="0" w:right="0" w:firstLine="0"/>
      </w:pPr>
      <w:r>
        <w:t xml:space="preserve"> </w:t>
      </w:r>
    </w:p>
    <w:p w14:paraId="42DBEC8A" w14:textId="77777777" w:rsidR="007B2FA7" w:rsidRDefault="00157CB8">
      <w:pPr>
        <w:ind w:left="-5" w:right="53"/>
      </w:pPr>
      <w:r>
        <w:t>The expanding discussion surrounding dark patterns builds upon these long-</w:t>
      </w:r>
      <w:r>
        <w:t xml:space="preserve">standing principles by recognizing that the </w:t>
      </w:r>
      <w:proofErr w:type="gramStart"/>
      <w:r>
        <w:t>manner in which</w:t>
      </w:r>
      <w:proofErr w:type="gramEnd"/>
      <w:r>
        <w:t xml:space="preserve"> choices are presented can be just as important as the language used to describe those choices.</w:t>
      </w:r>
      <w:r>
        <w:t xml:space="preserve"> </w:t>
      </w:r>
    </w:p>
    <w:p w14:paraId="0A0E37E9" w14:textId="77777777" w:rsidR="007B2FA7" w:rsidRDefault="00157CB8">
      <w:pPr>
        <w:spacing w:after="23" w:line="259" w:lineRule="auto"/>
        <w:ind w:left="0" w:right="0" w:firstLine="0"/>
      </w:pPr>
      <w:r>
        <w:t xml:space="preserve"> </w:t>
      </w:r>
    </w:p>
    <w:p w14:paraId="5E83ADF3" w14:textId="77777777" w:rsidR="007B2FA7" w:rsidRDefault="00157CB8">
      <w:pPr>
        <w:ind w:left="-5" w:right="53"/>
      </w:pPr>
      <w:r>
        <w:t>From a patient perspective, requiring acknowledgment of a notice that was never provided, or embedding a marketing authorization within treatment-related documentation, may undermine the transparency and informed decision-making principles these requirements are intended to promote.</w:t>
      </w:r>
      <w:r>
        <w:t xml:space="preserve"> </w:t>
      </w:r>
    </w:p>
    <w:p w14:paraId="7CB527FA" w14:textId="77777777" w:rsidR="007B2FA7" w:rsidRDefault="00157CB8">
      <w:pPr>
        <w:spacing w:after="22" w:line="259" w:lineRule="auto"/>
        <w:ind w:left="0" w:right="0" w:firstLine="0"/>
      </w:pPr>
      <w:r>
        <w:t xml:space="preserve"> </w:t>
      </w:r>
    </w:p>
    <w:p w14:paraId="4CCBA6D1" w14:textId="77777777" w:rsidR="007B2FA7" w:rsidRDefault="00157CB8">
      <w:pPr>
        <w:ind w:left="-5" w:right="53"/>
      </w:pPr>
      <w:r>
        <w:t xml:space="preserve">This trend is also reflected in a growing number of state consumer privacy laws that expressly prohibit obtaining consent </w:t>
      </w:r>
      <w:proofErr w:type="gramStart"/>
      <w:r>
        <w:t>through the use of</w:t>
      </w:r>
      <w:proofErr w:type="gramEnd"/>
      <w:r>
        <w:t xml:space="preserve"> dark patterns. California's Consumer Privacy Act, for example, not only defines a dark pattern as a user interface designed or manipulated with the substantial effect of subverting or impairing user autonomy, decision-making or choice, but also provides that agreement obtained </w:t>
      </w:r>
      <w:proofErr w:type="gramStart"/>
      <w:r>
        <w:t>through the use of</w:t>
      </w:r>
      <w:proofErr w:type="gramEnd"/>
      <w:r>
        <w:t xml:space="preserve"> dark patterns does not constitute valid consent.</w:t>
      </w:r>
      <w:r>
        <w:t xml:space="preserve"> </w:t>
      </w:r>
    </w:p>
    <w:p w14:paraId="3BCB89A6" w14:textId="77777777" w:rsidR="007B2FA7" w:rsidRDefault="00157CB8">
      <w:pPr>
        <w:spacing w:after="24" w:line="259" w:lineRule="auto"/>
        <w:ind w:left="0" w:right="0" w:firstLine="0"/>
      </w:pPr>
      <w:r>
        <w:t xml:space="preserve"> </w:t>
      </w:r>
    </w:p>
    <w:p w14:paraId="0A6C8A76" w14:textId="77777777" w:rsidR="007B2FA7" w:rsidRDefault="00157CB8">
      <w:pPr>
        <w:ind w:left="-5" w:right="53"/>
      </w:pPr>
      <w:r>
        <w:t>Colorado and Connecticut have adopted similar statutory approaches, reflecting an emerging consensus that consent must be the product of genuine consumer choice rather than manipulative design.</w:t>
      </w:r>
      <w:r>
        <w:t xml:space="preserve"> </w:t>
      </w:r>
    </w:p>
    <w:p w14:paraId="01088C97" w14:textId="77777777" w:rsidR="007B2FA7" w:rsidRDefault="00157CB8">
      <w:pPr>
        <w:spacing w:after="22" w:line="259" w:lineRule="auto"/>
        <w:ind w:left="0" w:right="0" w:firstLine="0"/>
      </w:pPr>
      <w:r>
        <w:t xml:space="preserve"> </w:t>
      </w:r>
    </w:p>
    <w:p w14:paraId="4006276A" w14:textId="77777777" w:rsidR="007B2FA7" w:rsidRDefault="00157CB8">
      <w:pPr>
        <w:ind w:left="-5" w:right="53"/>
      </w:pPr>
      <w:r>
        <w:t>Although these laws were largely enacted with websites, mobile applications and other digital interfaces in mind, their emphasis on preserving user autonomy rather than merely regulating technology provides an analytical framework that may prove equally relevant when evaluating patient-</w:t>
      </w:r>
      <w:r>
        <w:t>facing healthcare documents and consent processes.</w:t>
      </w:r>
      <w:r>
        <w:t xml:space="preserve"> </w:t>
      </w:r>
    </w:p>
    <w:p w14:paraId="4722EDF1" w14:textId="77777777" w:rsidR="007B2FA7" w:rsidRDefault="00157CB8">
      <w:pPr>
        <w:spacing w:after="22" w:line="259" w:lineRule="auto"/>
        <w:ind w:left="0" w:right="0" w:firstLine="0"/>
      </w:pPr>
      <w:r>
        <w:t xml:space="preserve"> </w:t>
      </w:r>
    </w:p>
    <w:p w14:paraId="220F1317" w14:textId="77777777" w:rsidR="007B2FA7" w:rsidRDefault="00157CB8">
      <w:pPr>
        <w:ind w:left="-5" w:right="53"/>
      </w:pPr>
      <w:r>
        <w:t>For healthcare compliance professionals, this represents an important evolution in the way consent processes should be evaluated. Compliance reviews can no longer stop at determining whether legally required language appears somewhere within a document.</w:t>
      </w:r>
      <w:r>
        <w:t xml:space="preserve"> </w:t>
      </w:r>
    </w:p>
    <w:p w14:paraId="375C1958" w14:textId="77777777" w:rsidR="007B2FA7" w:rsidRDefault="00157CB8">
      <w:pPr>
        <w:spacing w:after="22" w:line="259" w:lineRule="auto"/>
        <w:ind w:left="0" w:right="0" w:firstLine="0"/>
      </w:pPr>
      <w:r>
        <w:t xml:space="preserve"> </w:t>
      </w:r>
    </w:p>
    <w:p w14:paraId="63452374" w14:textId="77777777" w:rsidR="007B2FA7" w:rsidRDefault="00157CB8">
      <w:pPr>
        <w:ind w:left="-5" w:right="53"/>
      </w:pPr>
      <w:r>
        <w:t>Organizations should also ask whether optional choices are clearly distinguished from mandatory ones, whether alternative selections receive comparable visual treatment, whether patients can realistically understand that declining an optional authorization will not affect their ability to receive care, and whether the overall presentation promotes informed decision-making rather than passive acquiescence.</w:t>
      </w:r>
      <w:r>
        <w:t xml:space="preserve"> </w:t>
      </w:r>
    </w:p>
    <w:p w14:paraId="6E6DF4DA" w14:textId="77777777" w:rsidR="007B2FA7" w:rsidRDefault="00157CB8">
      <w:pPr>
        <w:spacing w:after="22" w:line="259" w:lineRule="auto"/>
        <w:ind w:left="0" w:right="0" w:firstLine="0"/>
      </w:pPr>
      <w:r>
        <w:t xml:space="preserve"> </w:t>
      </w:r>
    </w:p>
    <w:p w14:paraId="0B5735A0" w14:textId="77777777" w:rsidR="007B2FA7" w:rsidRDefault="00157CB8">
      <w:pPr>
        <w:ind w:left="-5" w:right="53"/>
      </w:pPr>
      <w:r>
        <w:t xml:space="preserve">That does not mean every effort to encourage patient participation is improper. Healthcare has always relied on what behavioral economists refer to as choice architecture. Providers routinely encourage patients to enroll in patient portals, participate in preventive screenings, receive recommended vaccinations, authorize care coordination, consider participation in clinical trials </w:t>
      </w:r>
      <w:proofErr w:type="gramStart"/>
      <w:r>
        <w:t>or elect</w:t>
      </w:r>
      <w:proofErr w:type="gramEnd"/>
      <w:r>
        <w:t xml:space="preserve"> electronic communications because those decisions often improve both patient outcomes and operational efficiency. Not every nudge is a dark pattern.</w:t>
      </w:r>
      <w:r>
        <w:t xml:space="preserve"> </w:t>
      </w:r>
    </w:p>
    <w:p w14:paraId="2BB0FA4B" w14:textId="77777777" w:rsidR="007B2FA7" w:rsidRDefault="00157CB8">
      <w:pPr>
        <w:spacing w:after="22" w:line="259" w:lineRule="auto"/>
        <w:ind w:left="0" w:right="0" w:firstLine="0"/>
      </w:pPr>
      <w:r>
        <w:t xml:space="preserve"> </w:t>
      </w:r>
    </w:p>
    <w:p w14:paraId="3F7EC771" w14:textId="77777777" w:rsidR="007B2FA7" w:rsidRDefault="00157CB8">
      <w:pPr>
        <w:ind w:left="-5" w:right="53"/>
      </w:pPr>
      <w:r>
        <w:t>The legal distinction lies in determining when a helpful nudge crosses the line into manipulation. Encouraging patients to receive preventive care is fundamentally different from structuring consent materials in a manner that obscures optional choices, exaggerates the consequences of declining participation, or exploits patient confusion, trust in healthcare professionals, and the practical realities of navigating complex healthcare processes to obtain broader authorizations than patients intended to provid</w:t>
      </w:r>
      <w:r>
        <w:t>e.</w:t>
      </w:r>
      <w:r>
        <w:t xml:space="preserve"> </w:t>
      </w:r>
    </w:p>
    <w:p w14:paraId="7DB61CBA" w14:textId="77777777" w:rsidR="007B2FA7" w:rsidRDefault="00157CB8">
      <w:pPr>
        <w:spacing w:after="22" w:line="259" w:lineRule="auto"/>
        <w:ind w:left="0" w:right="0" w:firstLine="0"/>
      </w:pPr>
      <w:r>
        <w:t xml:space="preserve"> </w:t>
      </w:r>
    </w:p>
    <w:p w14:paraId="4E79143D" w14:textId="77777777" w:rsidR="007B2FA7" w:rsidRDefault="00157CB8">
      <w:pPr>
        <w:ind w:left="-5" w:right="53"/>
      </w:pPr>
      <w:r>
        <w:t>Recent developments further underscore the importance of this issue. While neither the proposed HIPAA security rule amendments nor current FTC guidance expressly regulate the formatting of patient intake packets as dark patterns, both reflect a broader regulatory emphasis on transparency, individual autonomy and meaningful control over personal information.</w:t>
      </w:r>
      <w:r>
        <w:t xml:space="preserve"> </w:t>
      </w:r>
    </w:p>
    <w:p w14:paraId="160A4DFE" w14:textId="77777777" w:rsidR="007B2FA7" w:rsidRDefault="00157CB8">
      <w:pPr>
        <w:spacing w:after="24" w:line="259" w:lineRule="auto"/>
        <w:ind w:left="0" w:right="0" w:firstLine="0"/>
      </w:pPr>
      <w:r>
        <w:t xml:space="preserve"> </w:t>
      </w:r>
    </w:p>
    <w:p w14:paraId="245EB6FB" w14:textId="77777777" w:rsidR="007B2FA7" w:rsidRDefault="00157CB8">
      <w:pPr>
        <w:ind w:left="-5" w:right="53"/>
      </w:pPr>
      <w:r>
        <w:t>Viewed together, these developments suggest that regulators are becoming increasingly interested not only in what organizations disclose, but also in how those disclosures influence individual decision-making.</w:t>
      </w:r>
      <w:r>
        <w:t xml:space="preserve"> </w:t>
      </w:r>
    </w:p>
    <w:p w14:paraId="609E8D61" w14:textId="77777777" w:rsidR="007B2FA7" w:rsidRDefault="00157CB8">
      <w:pPr>
        <w:spacing w:after="22" w:line="259" w:lineRule="auto"/>
        <w:ind w:left="0" w:right="0" w:firstLine="0"/>
      </w:pPr>
      <w:r>
        <w:t xml:space="preserve"> </w:t>
      </w:r>
    </w:p>
    <w:p w14:paraId="3DA2A60B" w14:textId="77777777" w:rsidR="007B2FA7" w:rsidRDefault="00157CB8">
      <w:pPr>
        <w:ind w:left="-5" w:right="53"/>
      </w:pPr>
      <w:r>
        <w:t>Healthcare organizations would therefore be well served to expand their compliance reviews beyond websites and cookie banners. Registration packets, consent forms, patient questionnaires, electronic intake workflows and authorization processes should all be evaluated through the same lens increasingly applied to digital interfaces.</w:t>
      </w:r>
      <w:r>
        <w:t xml:space="preserve"> </w:t>
      </w:r>
    </w:p>
    <w:p w14:paraId="23C8CBBD" w14:textId="77777777" w:rsidR="007B2FA7" w:rsidRDefault="00157CB8">
      <w:pPr>
        <w:spacing w:after="22" w:line="259" w:lineRule="auto"/>
        <w:ind w:left="0" w:right="0" w:firstLine="0"/>
      </w:pPr>
      <w:r>
        <w:t xml:space="preserve"> </w:t>
      </w:r>
    </w:p>
    <w:p w14:paraId="693CE008" w14:textId="77777777" w:rsidR="007B2FA7" w:rsidRDefault="00157CB8">
      <w:pPr>
        <w:ind w:left="-5" w:right="53"/>
      </w:pPr>
      <w:r>
        <w:t xml:space="preserve">The question is no longer limited to whether a document is legally sufficient. It is whether the overall design of the </w:t>
      </w:r>
      <w:proofErr w:type="gramStart"/>
      <w:r>
        <w:t>patient</w:t>
      </w:r>
      <w:proofErr w:type="gramEnd"/>
      <w:r>
        <w:t xml:space="preserve"> experience promotes informed, voluntary and uncoerced decision-making.</w:t>
      </w:r>
      <w:r>
        <w:t xml:space="preserve"> </w:t>
      </w:r>
    </w:p>
    <w:p w14:paraId="5F6B92F5" w14:textId="77777777" w:rsidR="007B2FA7" w:rsidRDefault="00157CB8">
      <w:pPr>
        <w:spacing w:after="24" w:line="259" w:lineRule="auto"/>
        <w:ind w:left="0" w:right="0" w:firstLine="0"/>
      </w:pPr>
      <w:r>
        <w:t xml:space="preserve"> </w:t>
      </w:r>
    </w:p>
    <w:p w14:paraId="3CF1AB1A" w14:textId="77777777" w:rsidR="007B2FA7" w:rsidRDefault="00157CB8">
      <w:pPr>
        <w:ind w:left="-5" w:right="53"/>
      </w:pPr>
      <w:r>
        <w:t>Ultimately, that may become the next frontier in healthcare privacy compliance. The question healthcare organizations should begin asking today is one that regulators are likely to ask tomorrow: Can the design of a patient intake packet itself become a dark pattern?</w:t>
      </w:r>
      <w:r>
        <w:t xml:space="preserve"> </w:t>
      </w:r>
    </w:p>
    <w:p w14:paraId="1E3DE614" w14:textId="77777777" w:rsidR="007B2FA7" w:rsidRDefault="00157CB8">
      <w:pPr>
        <w:spacing w:after="24" w:line="259" w:lineRule="auto"/>
        <w:ind w:left="0" w:right="0" w:firstLine="0"/>
      </w:pPr>
      <w:r>
        <w:t xml:space="preserve"> </w:t>
      </w:r>
    </w:p>
    <w:p w14:paraId="47B05ABE" w14:textId="77777777" w:rsidR="007B2FA7" w:rsidRDefault="00157CB8">
      <w:pPr>
        <w:spacing w:after="236"/>
        <w:ind w:left="-5" w:right="53"/>
      </w:pPr>
      <w:r>
        <w:t>While the answer is still developing, the trajectory of recent regulatory guidance suggests that organizations ignoring this broader view of choice architecture may find themselves defending not only what their forms say, but how those forms influence the decisions patients make.</w:t>
      </w:r>
      <w:r>
        <w:t xml:space="preserve"> </w:t>
      </w:r>
    </w:p>
    <w:p w14:paraId="5395FDD1" w14:textId="77777777" w:rsidR="007B2FA7" w:rsidRDefault="00157CB8">
      <w:pPr>
        <w:spacing w:after="116" w:line="259" w:lineRule="auto"/>
        <w:ind w:left="0" w:right="0" w:firstLine="0"/>
        <w:jc w:val="right"/>
      </w:pPr>
      <w:r>
        <w:rPr>
          <w:noProof/>
          <w:sz w:val="22"/>
        </w:rPr>
        <mc:AlternateContent>
          <mc:Choice Requires="wpg">
            <w:drawing>
              <wp:inline distT="0" distB="0" distL="0" distR="0" wp14:anchorId="48E2305A" wp14:editId="2865CF14">
                <wp:extent cx="5944870" cy="20320"/>
                <wp:effectExtent l="0" t="0" r="0" b="0"/>
                <wp:docPr id="4627" name="Group 4627"/>
                <wp:cNvGraphicFramePr/>
                <a:graphic xmlns:a="http://schemas.openxmlformats.org/drawingml/2006/main">
                  <a:graphicData uri="http://schemas.microsoft.com/office/word/2010/wordprocessingGroup">
                    <wpg:wgp>
                      <wpg:cNvGrpSpPr/>
                      <wpg:grpSpPr>
                        <a:xfrm>
                          <a:off x="0" y="0"/>
                          <a:ext cx="5944870" cy="20320"/>
                          <a:chOff x="0" y="0"/>
                          <a:chExt cx="5944870" cy="20320"/>
                        </a:xfrm>
                      </wpg:grpSpPr>
                      <wps:wsp>
                        <wps:cNvPr id="5350" name="Shape 5350"/>
                        <wps:cNvSpPr/>
                        <wps:spPr>
                          <a:xfrm>
                            <a:off x="0" y="0"/>
                            <a:ext cx="5943600" cy="20320"/>
                          </a:xfrm>
                          <a:custGeom>
                            <a:avLst/>
                            <a:gdLst/>
                            <a:ahLst/>
                            <a:cxnLst/>
                            <a:rect l="0" t="0" r="0" b="0"/>
                            <a:pathLst>
                              <a:path w="5943600" h="20320">
                                <a:moveTo>
                                  <a:pt x="0" y="0"/>
                                </a:moveTo>
                                <a:lnTo>
                                  <a:pt x="5943600" y="0"/>
                                </a:lnTo>
                                <a:lnTo>
                                  <a:pt x="5943600" y="20320"/>
                                </a:lnTo>
                                <a:lnTo>
                                  <a:pt x="0" y="20320"/>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5351" name="Shape 5351"/>
                        <wps:cNvSpPr/>
                        <wps:spPr>
                          <a:xfrm>
                            <a:off x="305" y="50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5352" name="Shape 5352"/>
                        <wps:cNvSpPr/>
                        <wps:spPr>
                          <a:xfrm>
                            <a:off x="3353" y="508"/>
                            <a:ext cx="5938393" cy="9144"/>
                          </a:xfrm>
                          <a:custGeom>
                            <a:avLst/>
                            <a:gdLst/>
                            <a:ahLst/>
                            <a:cxnLst/>
                            <a:rect l="0" t="0" r="0" b="0"/>
                            <a:pathLst>
                              <a:path w="5938393" h="9144">
                                <a:moveTo>
                                  <a:pt x="0" y="0"/>
                                </a:moveTo>
                                <a:lnTo>
                                  <a:pt x="5938393" y="0"/>
                                </a:lnTo>
                                <a:lnTo>
                                  <a:pt x="5938393"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5353" name="Shape 5353"/>
                        <wps:cNvSpPr/>
                        <wps:spPr>
                          <a:xfrm>
                            <a:off x="5941822" y="50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5354" name="Shape 5354"/>
                        <wps:cNvSpPr/>
                        <wps:spPr>
                          <a:xfrm>
                            <a:off x="305" y="3555"/>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5355" name="Shape 5355"/>
                        <wps:cNvSpPr/>
                        <wps:spPr>
                          <a:xfrm>
                            <a:off x="5941822" y="3555"/>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5356" name="Shape 5356"/>
                        <wps:cNvSpPr/>
                        <wps:spPr>
                          <a:xfrm>
                            <a:off x="305" y="1727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5357" name="Shape 5357"/>
                        <wps:cNvSpPr/>
                        <wps:spPr>
                          <a:xfrm>
                            <a:off x="3353" y="17272"/>
                            <a:ext cx="5938393" cy="9144"/>
                          </a:xfrm>
                          <a:custGeom>
                            <a:avLst/>
                            <a:gdLst/>
                            <a:ahLst/>
                            <a:cxnLst/>
                            <a:rect l="0" t="0" r="0" b="0"/>
                            <a:pathLst>
                              <a:path w="5938393" h="9144">
                                <a:moveTo>
                                  <a:pt x="0" y="0"/>
                                </a:moveTo>
                                <a:lnTo>
                                  <a:pt x="5938393" y="0"/>
                                </a:lnTo>
                                <a:lnTo>
                                  <a:pt x="5938393"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5358" name="Shape 5358"/>
                        <wps:cNvSpPr/>
                        <wps:spPr>
                          <a:xfrm>
                            <a:off x="5941822" y="1727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g:wgp>
                  </a:graphicData>
                </a:graphic>
              </wp:inline>
            </w:drawing>
          </mc:Choice>
          <mc:Fallback xmlns:a="http://schemas.openxmlformats.org/drawingml/2006/main">
            <w:pict>
              <v:group id="Group 4627" style="width:468.1pt;height:1.59998pt;mso-position-horizontal-relative:char;mso-position-vertical-relative:line" coordsize="59448,203">
                <v:shape id="Shape 5359" style="position:absolute;width:59436;height:203;left:0;top:0;" coordsize="5943600,20320" path="m0,0l5943600,0l5943600,20320l0,20320l0,0">
                  <v:stroke weight="0pt" endcap="flat" joinstyle="miter" miterlimit="10" on="false" color="#000000" opacity="0"/>
                  <v:fill on="true" color="#a0a0a0"/>
                </v:shape>
                <v:shape id="Shape 5360" style="position:absolute;width:91;height:91;left:3;top:5;" coordsize="9144,9144" path="m0,0l9144,0l9144,9144l0,9144l0,0">
                  <v:stroke weight="0pt" endcap="flat" joinstyle="miter" miterlimit="10" on="false" color="#000000" opacity="0"/>
                  <v:fill on="true" color="#a0a0a0"/>
                </v:shape>
                <v:shape id="Shape 5361" style="position:absolute;width:59383;height:91;left:33;top:5;" coordsize="5938393,9144" path="m0,0l5938393,0l5938393,9144l0,9144l0,0">
                  <v:stroke weight="0pt" endcap="flat" joinstyle="miter" miterlimit="10" on="false" color="#000000" opacity="0"/>
                  <v:fill on="true" color="#a0a0a0"/>
                </v:shape>
                <v:shape id="Shape 5362" style="position:absolute;width:91;height:91;left:59418;top:5;" coordsize="9144,9144" path="m0,0l9144,0l9144,9144l0,9144l0,0">
                  <v:stroke weight="0pt" endcap="flat" joinstyle="miter" miterlimit="10" on="false" color="#000000" opacity="0"/>
                  <v:fill on="true" color="#a0a0a0"/>
                </v:shape>
                <v:shape id="Shape 5363" style="position:absolute;width:91;height:137;left:3;top:35;" coordsize="9144,13716" path="m0,0l9144,0l9144,13716l0,13716l0,0">
                  <v:stroke weight="0pt" endcap="flat" joinstyle="miter" miterlimit="10" on="false" color="#000000" opacity="0"/>
                  <v:fill on="true" color="#a0a0a0"/>
                </v:shape>
                <v:shape id="Shape 5364" style="position:absolute;width:91;height:137;left:59418;top:35;" coordsize="9144,13716" path="m0,0l9144,0l9144,13716l0,13716l0,0">
                  <v:stroke weight="0pt" endcap="flat" joinstyle="miter" miterlimit="10" on="false" color="#000000" opacity="0"/>
                  <v:fill on="true" color="#e3e3e3"/>
                </v:shape>
                <v:shape id="Shape 5365" style="position:absolute;width:91;height:91;left:3;top:172;" coordsize="9144,9144" path="m0,0l9144,0l9144,9144l0,9144l0,0">
                  <v:stroke weight="0pt" endcap="flat" joinstyle="miter" miterlimit="10" on="false" color="#000000" opacity="0"/>
                  <v:fill on="true" color="#e3e3e3"/>
                </v:shape>
                <v:shape id="Shape 5366" style="position:absolute;width:59383;height:91;left:33;top:172;" coordsize="5938393,9144" path="m0,0l5938393,0l5938393,9144l0,9144l0,0">
                  <v:stroke weight="0pt" endcap="flat" joinstyle="miter" miterlimit="10" on="false" color="#000000" opacity="0"/>
                  <v:fill on="true" color="#e3e3e3"/>
                </v:shape>
                <v:shape id="Shape 5367" style="position:absolute;width:91;height:91;left:59418;top:172;" coordsize="9144,9144" path="m0,0l9144,0l9144,9144l0,9144l0,0">
                  <v:stroke weight="0pt" endcap="flat" joinstyle="miter" miterlimit="10" on="false" color="#000000" opacity="0"/>
                  <v:fill on="true" color="#e3e3e3"/>
                </v:shape>
              </v:group>
            </w:pict>
          </mc:Fallback>
        </mc:AlternateContent>
      </w:r>
      <w:r>
        <w:t xml:space="preserve"> </w:t>
      </w:r>
    </w:p>
    <w:p w14:paraId="3C37301D" w14:textId="77777777" w:rsidR="007B2FA7" w:rsidRDefault="00157CB8">
      <w:pPr>
        <w:spacing w:after="22" w:line="259" w:lineRule="auto"/>
        <w:ind w:left="0" w:right="0" w:firstLine="0"/>
      </w:pPr>
      <w:r>
        <w:t xml:space="preserve"> </w:t>
      </w:r>
    </w:p>
    <w:p w14:paraId="2C3DA5AC" w14:textId="77777777" w:rsidR="007B2FA7" w:rsidRDefault="00157CB8">
      <w:pPr>
        <w:spacing w:after="24" w:line="259" w:lineRule="auto"/>
        <w:ind w:left="0" w:right="0" w:firstLine="0"/>
      </w:pPr>
      <w:hyperlink r:id="rId22">
        <w:r>
          <w:rPr>
            <w:i/>
            <w:color w:val="467886"/>
            <w:u w:val="single" w:color="467886"/>
          </w:rPr>
          <w:t>Paul Schmeltzer</w:t>
        </w:r>
      </w:hyperlink>
      <w:hyperlink r:id="rId23">
        <w:r>
          <w:rPr>
            <w:i/>
          </w:rPr>
          <w:t xml:space="preserve"> </w:t>
        </w:r>
      </w:hyperlink>
      <w:r>
        <w:rPr>
          <w:i/>
        </w:rPr>
        <w:t>is a member and</w:t>
      </w:r>
      <w:hyperlink r:id="rId24">
        <w:r>
          <w:rPr>
            <w:i/>
          </w:rPr>
          <w:t xml:space="preserve"> </w:t>
        </w:r>
      </w:hyperlink>
      <w:hyperlink r:id="rId25">
        <w:r>
          <w:rPr>
            <w:i/>
            <w:color w:val="467886"/>
            <w:u w:val="single" w:color="467886"/>
          </w:rPr>
          <w:t>John Howard</w:t>
        </w:r>
      </w:hyperlink>
      <w:hyperlink r:id="rId26">
        <w:r>
          <w:rPr>
            <w:i/>
          </w:rPr>
          <w:t xml:space="preserve"> </w:t>
        </w:r>
      </w:hyperlink>
      <w:r>
        <w:rPr>
          <w:i/>
        </w:rPr>
        <w:t>is a senior attorney at</w:t>
      </w:r>
      <w:hyperlink r:id="rId27">
        <w:r>
          <w:rPr>
            <w:i/>
          </w:rPr>
          <w:t xml:space="preserve"> </w:t>
        </w:r>
      </w:hyperlink>
      <w:hyperlink r:id="rId28">
        <w:r>
          <w:rPr>
            <w:i/>
            <w:color w:val="467886"/>
            <w:u w:val="single" w:color="467886"/>
          </w:rPr>
          <w:t>Clark Hill PLC</w:t>
        </w:r>
      </w:hyperlink>
      <w:hyperlink r:id="rId29">
        <w:r>
          <w:rPr>
            <w:i/>
          </w:rPr>
          <w:t>.</w:t>
        </w:r>
      </w:hyperlink>
      <w:r>
        <w:rPr>
          <w:i/>
        </w:rPr>
        <w:t xml:space="preserve"> </w:t>
      </w:r>
    </w:p>
    <w:p w14:paraId="540988DB" w14:textId="77777777" w:rsidR="007B2FA7" w:rsidRDefault="00157CB8">
      <w:pPr>
        <w:spacing w:after="22" w:line="259" w:lineRule="auto"/>
        <w:ind w:left="0" w:right="0" w:firstLine="0"/>
      </w:pPr>
      <w:r>
        <w:rPr>
          <w:i/>
        </w:rPr>
        <w:t xml:space="preserve"> </w:t>
      </w:r>
    </w:p>
    <w:p w14:paraId="0CD41D71" w14:textId="77777777" w:rsidR="007B2FA7" w:rsidRDefault="00157CB8">
      <w:pPr>
        <w:spacing w:after="2" w:line="278" w:lineRule="auto"/>
        <w:ind w:left="0" w:right="50" w:firstLine="0"/>
      </w:pPr>
      <w:r>
        <w:rPr>
          <w:i/>
        </w:rPr>
        <w:t>The opinions expressed are those of the author(s) and do not necessarily reflect the views of their employer, its clients, or Portfolio Media Inc., or any of its or their respective affiliates. This article is for general information purposes and is not intended to be and should not be taken as legal advice.</w:t>
      </w:r>
      <w:r>
        <w:t xml:space="preserve"> </w:t>
      </w:r>
    </w:p>
    <w:p w14:paraId="407A3066" w14:textId="77777777" w:rsidR="007B2FA7" w:rsidRDefault="00157CB8">
      <w:pPr>
        <w:spacing w:after="22" w:line="259" w:lineRule="auto"/>
        <w:ind w:left="0" w:right="0" w:firstLine="0"/>
      </w:pPr>
      <w:r>
        <w:t xml:space="preserve"> </w:t>
      </w:r>
    </w:p>
    <w:p w14:paraId="2A9F834F" w14:textId="77777777" w:rsidR="007B2FA7" w:rsidRDefault="00157CB8">
      <w:pPr>
        <w:spacing w:after="164" w:line="277" w:lineRule="auto"/>
        <w:ind w:left="0" w:right="498" w:firstLine="0"/>
      </w:pPr>
      <w:r>
        <w:t>[1]</w:t>
      </w:r>
      <w:hyperlink r:id="rId30">
        <w:r>
          <w:t xml:space="preserve"> </w:t>
        </w:r>
      </w:hyperlink>
      <w:hyperlink r:id="rId31">
        <w:r>
          <w:rPr>
            <w:color w:val="467886"/>
            <w:u w:val="single" w:color="467886"/>
          </w:rPr>
          <w:t>https://themarkup.org/privacy/2026/05/27/opt</w:t>
        </w:r>
      </w:hyperlink>
      <w:hyperlink r:id="rId32">
        <w:r>
          <w:rPr>
            <w:color w:val="467886"/>
            <w:u w:val="single" w:color="467886"/>
          </w:rPr>
          <w:t>-</w:t>
        </w:r>
      </w:hyperlink>
      <w:hyperlink r:id="rId33">
        <w:r>
          <w:rPr>
            <w:color w:val="467886"/>
            <w:u w:val="single" w:color="467886"/>
          </w:rPr>
          <w:t>out</w:t>
        </w:r>
      </w:hyperlink>
      <w:hyperlink r:id="rId34">
        <w:r>
          <w:rPr>
            <w:color w:val="467886"/>
            <w:u w:val="single" w:color="467886"/>
          </w:rPr>
          <w:t>-</w:t>
        </w:r>
      </w:hyperlink>
      <w:hyperlink r:id="rId35">
        <w:r>
          <w:rPr>
            <w:color w:val="467886"/>
            <w:u w:val="single" w:color="467886"/>
          </w:rPr>
          <w:t>dark</w:t>
        </w:r>
      </w:hyperlink>
      <w:hyperlink r:id="rId36"/>
      <w:hyperlink r:id="rId37">
        <w:r>
          <w:rPr>
            <w:color w:val="467886"/>
            <w:u w:val="single" w:color="467886"/>
          </w:rPr>
          <w:t>patterns</w:t>
        </w:r>
      </w:hyperlink>
      <w:hyperlink r:id="rId38">
        <w:r>
          <w:t>;</w:t>
        </w:r>
      </w:hyperlink>
      <w:hyperlink r:id="rId39">
        <w:r>
          <w:t xml:space="preserve"> </w:t>
        </w:r>
      </w:hyperlink>
      <w:hyperlink r:id="rId40">
        <w:r>
          <w:rPr>
            <w:color w:val="467886"/>
            <w:u w:val="single" w:color="467886"/>
          </w:rPr>
          <w:t>https://calmatters.org/economy/technology/2026/05/opt</w:t>
        </w:r>
      </w:hyperlink>
      <w:hyperlink r:id="rId41">
        <w:r>
          <w:rPr>
            <w:color w:val="467886"/>
            <w:u w:val="single" w:color="467886"/>
          </w:rPr>
          <w:t>-</w:t>
        </w:r>
      </w:hyperlink>
      <w:hyperlink r:id="rId42">
        <w:r>
          <w:rPr>
            <w:color w:val="467886"/>
            <w:u w:val="single" w:color="467886"/>
          </w:rPr>
          <w:t>out</w:t>
        </w:r>
      </w:hyperlink>
      <w:hyperlink r:id="rId43">
        <w:r>
          <w:rPr>
            <w:color w:val="467886"/>
            <w:u w:val="single" w:color="467886"/>
          </w:rPr>
          <w:t>-</w:t>
        </w:r>
      </w:hyperlink>
      <w:hyperlink r:id="rId44">
        <w:r>
          <w:rPr>
            <w:color w:val="467886"/>
            <w:u w:val="single" w:color="467886"/>
          </w:rPr>
          <w:t>dark</w:t>
        </w:r>
      </w:hyperlink>
      <w:hyperlink r:id="rId45">
        <w:r>
          <w:rPr>
            <w:color w:val="467886"/>
            <w:u w:val="single" w:color="467886"/>
          </w:rPr>
          <w:t>-</w:t>
        </w:r>
      </w:hyperlink>
      <w:hyperlink r:id="rId46">
        <w:r>
          <w:rPr>
            <w:color w:val="467886"/>
            <w:u w:val="single" w:color="467886"/>
          </w:rPr>
          <w:t>patterns/</w:t>
        </w:r>
      </w:hyperlink>
      <w:hyperlink r:id="rId47">
        <w:r>
          <w:t>.</w:t>
        </w:r>
      </w:hyperlink>
      <w:r>
        <w:t xml:space="preserve"> </w:t>
      </w:r>
    </w:p>
    <w:p w14:paraId="447D47C3" w14:textId="77777777" w:rsidR="007B2FA7" w:rsidRDefault="00157CB8">
      <w:pPr>
        <w:spacing w:after="0" w:line="259" w:lineRule="auto"/>
        <w:ind w:left="0" w:right="0" w:firstLine="0"/>
      </w:pPr>
      <w:r>
        <w:t xml:space="preserve"> </w:t>
      </w:r>
    </w:p>
    <w:sectPr w:rsidR="007B2FA7">
      <w:pgSz w:w="12240" w:h="15840"/>
      <w:pgMar w:top="1440" w:right="1389" w:bottom="1541"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83"/>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2FA7"/>
    <w:rsid w:val="00013DE5"/>
    <w:rsid w:val="00157CB8"/>
    <w:rsid w:val="00325C95"/>
    <w:rsid w:val="007B2F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C6B9C"/>
  <w15:docId w15:val="{4585211D-BA03-41AD-B209-EF1DC02CC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 w:line="269" w:lineRule="auto"/>
      <w:ind w:left="10" w:right="377" w:hanging="10"/>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law360.com/articles/2309092" TargetMode="External"/><Relationship Id="rId18" Type="http://schemas.openxmlformats.org/officeDocument/2006/relationships/hyperlink" Target="https://www.law360.com/agencies/federal-trade-commission" TargetMode="External"/><Relationship Id="rId26" Type="http://schemas.openxmlformats.org/officeDocument/2006/relationships/hyperlink" Target="https://www.clarkhill.com/people/john-howard/" TargetMode="External"/><Relationship Id="rId39" Type="http://schemas.openxmlformats.org/officeDocument/2006/relationships/hyperlink" Target="https://calmatters.org/economy/technology/2026/05/opt-out-dark-patterns/" TargetMode="External"/><Relationship Id="rId21" Type="http://schemas.openxmlformats.org/officeDocument/2006/relationships/hyperlink" Target="https://www.law360.com/agencies/u-s-department-of-health-and-human-services" TargetMode="External"/><Relationship Id="rId34" Type="http://schemas.openxmlformats.org/officeDocument/2006/relationships/hyperlink" Target="https://themarkup.org/privacy/2026/05/27/opt-out-dark-patterns" TargetMode="External"/><Relationship Id="rId42" Type="http://schemas.openxmlformats.org/officeDocument/2006/relationships/hyperlink" Target="https://calmatters.org/economy/technology/2026/05/opt-out-dark-patterns/" TargetMode="External"/><Relationship Id="rId47" Type="http://schemas.openxmlformats.org/officeDocument/2006/relationships/hyperlink" Target="https://calmatters.org/economy/technology/2026/05/opt-out-dark-patterns/" TargetMode="External"/><Relationship Id="rId7" Type="http://schemas.openxmlformats.org/officeDocument/2006/relationships/hyperlink" Target="https://www.law360.com/agencies/california-privacy-protection-agency" TargetMode="External"/><Relationship Id="rId2" Type="http://schemas.openxmlformats.org/officeDocument/2006/relationships/settings" Target="settings.xml"/><Relationship Id="rId16" Type="http://schemas.openxmlformats.org/officeDocument/2006/relationships/hyperlink" Target="https://www.law360.com/agencies/federal-trade-commission" TargetMode="External"/><Relationship Id="rId29" Type="http://schemas.openxmlformats.org/officeDocument/2006/relationships/hyperlink" Target="https://www.law360.com/firms/clark-hill" TargetMode="External"/><Relationship Id="rId11" Type="http://schemas.openxmlformats.org/officeDocument/2006/relationships/hyperlink" Target="https://www.law360.com/articles/2309092" TargetMode="External"/><Relationship Id="rId24" Type="http://schemas.openxmlformats.org/officeDocument/2006/relationships/hyperlink" Target="https://www.clarkhill.com/people/john-howard/" TargetMode="External"/><Relationship Id="rId32" Type="http://schemas.openxmlformats.org/officeDocument/2006/relationships/hyperlink" Target="https://themarkup.org/privacy/2026/05/27/opt-out-dark-patterns" TargetMode="External"/><Relationship Id="rId37" Type="http://schemas.openxmlformats.org/officeDocument/2006/relationships/hyperlink" Target="https://themarkup.org/privacy/2026/05/27/opt-out-dark-patterns" TargetMode="External"/><Relationship Id="rId40" Type="http://schemas.openxmlformats.org/officeDocument/2006/relationships/hyperlink" Target="https://calmatters.org/economy/technology/2026/05/opt-out-dark-patterns/" TargetMode="External"/><Relationship Id="rId45" Type="http://schemas.openxmlformats.org/officeDocument/2006/relationships/hyperlink" Target="https://calmatters.org/economy/technology/2026/05/opt-out-dark-patterns/" TargetMode="External"/><Relationship Id="rId5" Type="http://schemas.openxmlformats.org/officeDocument/2006/relationships/image" Target="media/image2.jpg"/><Relationship Id="rId15" Type="http://schemas.openxmlformats.org/officeDocument/2006/relationships/hyperlink" Target="https://www.law360.com/agencies/federal-trade-commission" TargetMode="External"/><Relationship Id="rId23" Type="http://schemas.openxmlformats.org/officeDocument/2006/relationships/hyperlink" Target="https://www.clarkhill.com/people/paul-f-schmeltzer/" TargetMode="External"/><Relationship Id="rId28" Type="http://schemas.openxmlformats.org/officeDocument/2006/relationships/hyperlink" Target="https://www.law360.com/firms/clark-hill" TargetMode="External"/><Relationship Id="rId36" Type="http://schemas.openxmlformats.org/officeDocument/2006/relationships/hyperlink" Target="https://themarkup.org/privacy/2026/05/27/opt-out-dark-patterns" TargetMode="External"/><Relationship Id="rId49" Type="http://schemas.openxmlformats.org/officeDocument/2006/relationships/theme" Target="theme/theme1.xml"/><Relationship Id="rId10" Type="http://schemas.openxmlformats.org/officeDocument/2006/relationships/hyperlink" Target="https://www.law360.com/agencies/california-privacy-protection-agency" TargetMode="External"/><Relationship Id="rId19" Type="http://schemas.openxmlformats.org/officeDocument/2006/relationships/hyperlink" Target="https://www.law360.com/agencies/u-s-department-of-health-and-human-services" TargetMode="External"/><Relationship Id="rId31" Type="http://schemas.openxmlformats.org/officeDocument/2006/relationships/hyperlink" Target="https://themarkup.org/privacy/2026/05/27/opt-out-dark-patterns" TargetMode="External"/><Relationship Id="rId44" Type="http://schemas.openxmlformats.org/officeDocument/2006/relationships/hyperlink" Target="https://calmatters.org/economy/technology/2026/05/opt-out-dark-patterns/" TargetMode="External"/><Relationship Id="rId4" Type="http://schemas.openxmlformats.org/officeDocument/2006/relationships/image" Target="media/image1.jpg"/><Relationship Id="rId9" Type="http://schemas.openxmlformats.org/officeDocument/2006/relationships/hyperlink" Target="https://www.law360.com/agencies/california-privacy-protection-agency" TargetMode="External"/><Relationship Id="rId14" Type="http://schemas.openxmlformats.org/officeDocument/2006/relationships/hyperlink" Target="https://www.law360.com/agencies/federal-trade-commission" TargetMode="External"/><Relationship Id="rId22" Type="http://schemas.openxmlformats.org/officeDocument/2006/relationships/hyperlink" Target="https://www.clarkhill.com/people/paul-f-schmeltzer/" TargetMode="External"/><Relationship Id="rId27" Type="http://schemas.openxmlformats.org/officeDocument/2006/relationships/hyperlink" Target="https://www.law360.com/firms/clark-hill" TargetMode="External"/><Relationship Id="rId30" Type="http://schemas.openxmlformats.org/officeDocument/2006/relationships/hyperlink" Target="https://themarkup.org/privacy/2026/05/27/opt-out-dark-patterns" TargetMode="External"/><Relationship Id="rId35" Type="http://schemas.openxmlformats.org/officeDocument/2006/relationships/hyperlink" Target="https://themarkup.org/privacy/2026/05/27/opt-out-dark-patterns" TargetMode="External"/><Relationship Id="rId43" Type="http://schemas.openxmlformats.org/officeDocument/2006/relationships/hyperlink" Target="https://calmatters.org/economy/technology/2026/05/opt-out-dark-patterns/" TargetMode="External"/><Relationship Id="rId48" Type="http://schemas.openxmlformats.org/officeDocument/2006/relationships/fontTable" Target="fontTable.xml"/><Relationship Id="rId8" Type="http://schemas.openxmlformats.org/officeDocument/2006/relationships/hyperlink" Target="https://www.law360.com/agencies/california-privacy-protection-agency" TargetMode="External"/><Relationship Id="rId3" Type="http://schemas.openxmlformats.org/officeDocument/2006/relationships/webSettings" Target="webSettings.xml"/><Relationship Id="rId12" Type="http://schemas.openxmlformats.org/officeDocument/2006/relationships/hyperlink" Target="https://www.law360.com/articles/2309092" TargetMode="External"/><Relationship Id="rId17" Type="http://schemas.openxmlformats.org/officeDocument/2006/relationships/hyperlink" Target="https://www.law360.com/agencies/federal-trade-commission" TargetMode="External"/><Relationship Id="rId25" Type="http://schemas.openxmlformats.org/officeDocument/2006/relationships/hyperlink" Target="https://www.clarkhill.com/people/john-howard/" TargetMode="External"/><Relationship Id="rId33" Type="http://schemas.openxmlformats.org/officeDocument/2006/relationships/hyperlink" Target="https://themarkup.org/privacy/2026/05/27/opt-out-dark-patterns" TargetMode="External"/><Relationship Id="rId38" Type="http://schemas.openxmlformats.org/officeDocument/2006/relationships/hyperlink" Target="https://themarkup.org/privacy/2026/05/27/opt-out-dark-patterns" TargetMode="External"/><Relationship Id="rId46" Type="http://schemas.openxmlformats.org/officeDocument/2006/relationships/hyperlink" Target="https://calmatters.org/economy/technology/2026/05/opt-out-dark-patterns/" TargetMode="External"/><Relationship Id="rId20" Type="http://schemas.openxmlformats.org/officeDocument/2006/relationships/hyperlink" Target="https://www.law360.com/agencies/u-s-department-of-health-and-human-services" TargetMode="External"/><Relationship Id="rId41" Type="http://schemas.openxmlformats.org/officeDocument/2006/relationships/hyperlink" Target="https://calmatters.org/economy/technology/2026/05/opt-out-dark-patterns/" TargetMode="External"/><Relationship Id="rId1" Type="http://schemas.openxmlformats.org/officeDocument/2006/relationships/styles" Target="styles.xml"/><Relationship Id="rId6" Type="http://schemas.openxmlformats.org/officeDocument/2006/relationships/hyperlink" Target="https://www.law360.com/agencies/california-privacy-protection-agen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2433</Words>
  <Characters>13873</Characters>
  <Application>Microsoft Office Word</Application>
  <DocSecurity>4</DocSecurity>
  <Lines>115</Lines>
  <Paragraphs>32</Paragraphs>
  <ScaleCrop>false</ScaleCrop>
  <Company/>
  <LinksUpToDate>false</LinksUpToDate>
  <CharactersWithSpaces>16274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Wu, Allen (LNG-HBE)</dc:creator>
  <cp:keywords/>
  <cp:lastModifiedBy>joel epstein</cp:lastModifiedBy>
  <cp:revision>2</cp:revision>
  <dcterms:created xsi:type="dcterms:W3CDTF">2026-08-13T13:45:00Z</dcterms:created>
  <dcterms:modified xsi:type="dcterms:W3CDTF">2026-08-13T13:45:00Z</dcterms:modified>
</cp:coreProperties>
</file>